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547" w:rsidRDefault="00293547" w:rsidP="00293547">
      <w:pPr>
        <w:pStyle w:val="Nagwek"/>
        <w:tabs>
          <w:tab w:val="left" w:pos="708"/>
        </w:tabs>
        <w:spacing w:after="0"/>
        <w:ind w:left="9072"/>
        <w:rPr>
          <w:sz w:val="20"/>
          <w:szCs w:val="20"/>
        </w:rPr>
      </w:pPr>
      <w:r>
        <w:rPr>
          <w:sz w:val="20"/>
          <w:szCs w:val="20"/>
        </w:rPr>
        <w:t xml:space="preserve">                                 Załącznik nr 2 do Uchwały nr  51/2018</w:t>
      </w:r>
    </w:p>
    <w:p w:rsidR="00293547" w:rsidRDefault="00293547" w:rsidP="00293547">
      <w:pPr>
        <w:pStyle w:val="Nagwek"/>
        <w:tabs>
          <w:tab w:val="left" w:pos="708"/>
        </w:tabs>
        <w:spacing w:after="0"/>
        <w:ind w:left="9072"/>
        <w:rPr>
          <w:sz w:val="20"/>
          <w:szCs w:val="20"/>
        </w:rPr>
      </w:pPr>
      <w:r>
        <w:rPr>
          <w:sz w:val="20"/>
          <w:szCs w:val="20"/>
        </w:rPr>
        <w:tab/>
      </w:r>
      <w:r>
        <w:rPr>
          <w:sz w:val="20"/>
          <w:szCs w:val="20"/>
        </w:rPr>
        <w:tab/>
      </w:r>
      <w:r>
        <w:rPr>
          <w:sz w:val="20"/>
          <w:szCs w:val="20"/>
        </w:rPr>
        <w:tab/>
        <w:t>KM RPO WK-P na lata 2014-2020</w:t>
      </w:r>
    </w:p>
    <w:p w:rsidR="00293547" w:rsidRDefault="00293547" w:rsidP="00293547">
      <w:pPr>
        <w:pStyle w:val="Nagwek"/>
        <w:tabs>
          <w:tab w:val="left" w:pos="708"/>
        </w:tabs>
        <w:spacing w:after="0"/>
        <w:ind w:left="9072"/>
        <w:rPr>
          <w:sz w:val="20"/>
          <w:szCs w:val="20"/>
        </w:rPr>
      </w:pPr>
      <w:r>
        <w:rPr>
          <w:sz w:val="20"/>
          <w:szCs w:val="20"/>
        </w:rPr>
        <w:tab/>
      </w:r>
      <w:r>
        <w:rPr>
          <w:sz w:val="20"/>
          <w:szCs w:val="20"/>
        </w:rPr>
        <w:tab/>
      </w:r>
      <w:r>
        <w:rPr>
          <w:sz w:val="20"/>
          <w:szCs w:val="20"/>
        </w:rPr>
        <w:tab/>
        <w:t>z dnia 18 kwietnia 2018 r.</w:t>
      </w:r>
    </w:p>
    <w:p w:rsidR="00E96D03" w:rsidRDefault="00E96D03" w:rsidP="00356891">
      <w:pPr>
        <w:pStyle w:val="Nagwek2"/>
        <w:ind w:right="-1559" w:firstLine="0"/>
        <w:rPr>
          <w:rFonts w:asciiTheme="minorHAnsi" w:hAnsiTheme="minorHAnsi"/>
          <w:szCs w:val="20"/>
          <w:u w:val="single"/>
        </w:rPr>
      </w:pPr>
    </w:p>
    <w:p w:rsidR="00683050" w:rsidRPr="00FB782F" w:rsidRDefault="00683050" w:rsidP="00356891">
      <w:pPr>
        <w:pStyle w:val="Nagwek2"/>
        <w:ind w:right="-1559" w:firstLine="0"/>
        <w:rPr>
          <w:rFonts w:asciiTheme="minorHAnsi" w:hAnsiTheme="minorHAnsi"/>
          <w:szCs w:val="20"/>
          <w:u w:val="single"/>
        </w:rPr>
      </w:pPr>
      <w:r w:rsidRPr="00FB782F">
        <w:rPr>
          <w:rFonts w:asciiTheme="minorHAnsi" w:hAnsiTheme="minorHAnsi"/>
          <w:szCs w:val="20"/>
          <w:u w:val="single"/>
        </w:rPr>
        <w:t>Załącznik do Kryteriów wyboru projektów</w:t>
      </w:r>
      <w:r w:rsidR="000E32B0" w:rsidRPr="00FB782F">
        <w:rPr>
          <w:rFonts w:asciiTheme="minorHAnsi" w:hAnsiTheme="minorHAnsi"/>
          <w:bCs/>
          <w:szCs w:val="20"/>
          <w:u w:val="single"/>
        </w:rPr>
        <w:t>. Definicje wskaźników produktu i rezultatu.</w:t>
      </w:r>
    </w:p>
    <w:p w:rsidR="005E4C56" w:rsidRPr="00FB782F" w:rsidRDefault="005E4C56" w:rsidP="005E4C56">
      <w:pPr>
        <w:spacing w:after="0" w:line="240" w:lineRule="auto"/>
        <w:jc w:val="both"/>
        <w:rPr>
          <w:rFonts w:asciiTheme="minorHAnsi" w:hAnsiTheme="minorHAnsi"/>
          <w:b/>
          <w:sz w:val="20"/>
          <w:szCs w:val="20"/>
        </w:rPr>
      </w:pPr>
    </w:p>
    <w:p w:rsidR="00FB782F" w:rsidRPr="00FB782F" w:rsidRDefault="00FB782F" w:rsidP="00FB782F">
      <w:pPr>
        <w:spacing w:after="0" w:line="240" w:lineRule="auto"/>
        <w:jc w:val="both"/>
        <w:rPr>
          <w:rFonts w:asciiTheme="minorHAnsi" w:hAnsiTheme="minorHAnsi"/>
          <w:sz w:val="20"/>
          <w:szCs w:val="20"/>
        </w:rPr>
      </w:pPr>
      <w:r w:rsidRPr="00FB782F">
        <w:rPr>
          <w:rFonts w:asciiTheme="minorHAnsi" w:hAnsiTheme="minorHAnsi"/>
          <w:b/>
          <w:sz w:val="20"/>
          <w:szCs w:val="20"/>
        </w:rPr>
        <w:t>Oś priorytetowa:</w:t>
      </w:r>
      <w:r w:rsidRPr="00FB782F">
        <w:rPr>
          <w:rFonts w:asciiTheme="minorHAnsi" w:hAnsiTheme="minorHAnsi"/>
          <w:sz w:val="20"/>
          <w:szCs w:val="20"/>
        </w:rPr>
        <w:t xml:space="preserve"> 1. Wzmocnienie innowacyjności i konkurencyjności regionu</w:t>
      </w:r>
    </w:p>
    <w:p w:rsidR="00FB782F" w:rsidRPr="00FB782F" w:rsidRDefault="00FB782F" w:rsidP="00FB782F">
      <w:pPr>
        <w:spacing w:after="0" w:line="240" w:lineRule="auto"/>
        <w:jc w:val="both"/>
        <w:rPr>
          <w:rFonts w:asciiTheme="minorHAnsi" w:hAnsiTheme="minorHAnsi"/>
          <w:sz w:val="20"/>
          <w:szCs w:val="20"/>
        </w:rPr>
      </w:pPr>
      <w:r w:rsidRPr="00FB782F">
        <w:rPr>
          <w:rFonts w:asciiTheme="minorHAnsi" w:hAnsiTheme="minorHAnsi"/>
          <w:b/>
          <w:sz w:val="20"/>
          <w:szCs w:val="20"/>
        </w:rPr>
        <w:t>Działanie:</w:t>
      </w:r>
      <w:r w:rsidRPr="00FB782F">
        <w:rPr>
          <w:rFonts w:asciiTheme="minorHAnsi" w:hAnsiTheme="minorHAnsi"/>
          <w:sz w:val="20"/>
          <w:szCs w:val="20"/>
        </w:rPr>
        <w:t xml:space="preserve"> 1.2 Promowanie inwestycji przedsiębiorstw w badania i innowacje</w:t>
      </w:r>
    </w:p>
    <w:p w:rsidR="00FB782F" w:rsidRPr="00FB782F" w:rsidRDefault="00FB782F" w:rsidP="00FB782F">
      <w:pPr>
        <w:spacing w:after="0" w:line="240" w:lineRule="auto"/>
        <w:jc w:val="both"/>
        <w:rPr>
          <w:rFonts w:asciiTheme="minorHAnsi" w:hAnsiTheme="minorHAnsi"/>
          <w:sz w:val="20"/>
          <w:szCs w:val="20"/>
        </w:rPr>
      </w:pPr>
      <w:r w:rsidRPr="00FB782F">
        <w:rPr>
          <w:rFonts w:asciiTheme="minorHAnsi" w:hAnsiTheme="minorHAnsi"/>
          <w:b/>
          <w:sz w:val="20"/>
          <w:szCs w:val="20"/>
        </w:rPr>
        <w:t>Poddziałanie:</w:t>
      </w:r>
      <w:r w:rsidRPr="00FB782F">
        <w:rPr>
          <w:rFonts w:asciiTheme="minorHAnsi" w:hAnsiTheme="minorHAnsi"/>
          <w:sz w:val="20"/>
          <w:szCs w:val="20"/>
        </w:rPr>
        <w:t xml:space="preserve"> 1.2.1 Wsparcie procesów badawczo-rozwojowych</w:t>
      </w:r>
    </w:p>
    <w:p w:rsidR="00FB782F" w:rsidRPr="00FB782F" w:rsidRDefault="00FB782F" w:rsidP="00FB782F">
      <w:pPr>
        <w:spacing w:after="0" w:line="240" w:lineRule="auto"/>
        <w:jc w:val="both"/>
        <w:rPr>
          <w:rFonts w:asciiTheme="minorHAnsi" w:hAnsiTheme="minorHAnsi"/>
          <w:sz w:val="20"/>
          <w:szCs w:val="20"/>
        </w:rPr>
      </w:pPr>
      <w:r w:rsidRPr="00FB782F">
        <w:rPr>
          <w:rFonts w:asciiTheme="minorHAnsi" w:hAnsiTheme="minorHAnsi"/>
          <w:b/>
          <w:sz w:val="20"/>
          <w:szCs w:val="20"/>
        </w:rPr>
        <w:t>Priorytet Inwestycyjny:</w:t>
      </w:r>
      <w:r w:rsidRPr="00FB782F">
        <w:rPr>
          <w:rFonts w:asciiTheme="minorHAnsi" w:hAnsiTheme="minorHAnsi"/>
          <w:sz w:val="20"/>
          <w:szCs w:val="20"/>
        </w:rPr>
        <w:t xml:space="preserve">  1b Promowanie inwestycji przedsiębiorstw w badania i innowacje (...)</w:t>
      </w:r>
    </w:p>
    <w:p w:rsidR="00FB782F" w:rsidRPr="00FB782F" w:rsidRDefault="00FB782F" w:rsidP="00FB782F">
      <w:pPr>
        <w:pStyle w:val="Default"/>
        <w:jc w:val="both"/>
        <w:rPr>
          <w:rFonts w:asciiTheme="minorHAnsi" w:hAnsiTheme="minorHAnsi" w:cs="Times New Roman"/>
          <w:color w:val="auto"/>
          <w:sz w:val="20"/>
          <w:szCs w:val="20"/>
          <w:lang w:eastAsia="en-US"/>
        </w:rPr>
      </w:pPr>
      <w:r w:rsidRPr="00FB782F">
        <w:rPr>
          <w:rFonts w:asciiTheme="minorHAnsi" w:hAnsiTheme="minorHAnsi"/>
          <w:b/>
          <w:color w:val="auto"/>
          <w:sz w:val="20"/>
          <w:szCs w:val="20"/>
        </w:rPr>
        <w:t>Cel szczegółowy:</w:t>
      </w:r>
      <w:r w:rsidRPr="00FB782F">
        <w:rPr>
          <w:rFonts w:asciiTheme="minorHAnsi" w:hAnsiTheme="minorHAnsi"/>
          <w:color w:val="auto"/>
          <w:sz w:val="20"/>
          <w:szCs w:val="20"/>
        </w:rPr>
        <w:t xml:space="preserve"> z</w:t>
      </w:r>
      <w:r w:rsidRPr="00FB782F">
        <w:rPr>
          <w:rFonts w:asciiTheme="minorHAnsi" w:hAnsiTheme="minorHAnsi" w:cs="Times New Roman"/>
          <w:color w:val="auto"/>
          <w:sz w:val="20"/>
          <w:szCs w:val="20"/>
          <w:lang w:eastAsia="en-US"/>
        </w:rPr>
        <w:t>większona aktywność badawczo-rozwojowa przedsiębiorstw</w:t>
      </w:r>
    </w:p>
    <w:p w:rsidR="00FB782F" w:rsidRPr="00FB782F" w:rsidRDefault="00FB782F" w:rsidP="00FB782F">
      <w:pPr>
        <w:pStyle w:val="Default"/>
        <w:jc w:val="both"/>
        <w:rPr>
          <w:rFonts w:asciiTheme="minorHAnsi" w:hAnsiTheme="minorHAnsi"/>
          <w:color w:val="auto"/>
          <w:sz w:val="20"/>
          <w:szCs w:val="20"/>
        </w:rPr>
      </w:pPr>
      <w:r w:rsidRPr="00FB782F">
        <w:rPr>
          <w:rFonts w:asciiTheme="minorHAnsi" w:hAnsiTheme="minorHAnsi" w:cs="Times New Roman"/>
          <w:b/>
          <w:color w:val="auto"/>
          <w:sz w:val="20"/>
          <w:szCs w:val="20"/>
          <w:lang w:eastAsia="en-US"/>
        </w:rPr>
        <w:t xml:space="preserve">Schemat: </w:t>
      </w:r>
      <w:r w:rsidRPr="00FB782F">
        <w:rPr>
          <w:rFonts w:asciiTheme="minorHAnsi" w:hAnsiTheme="minorHAnsi" w:cs="Times New Roman"/>
          <w:color w:val="auto"/>
          <w:sz w:val="20"/>
          <w:szCs w:val="20"/>
          <w:lang w:eastAsia="en-US"/>
        </w:rPr>
        <w:t xml:space="preserve">Rozwój sfery  B+R w przedsiębiorstwach </w:t>
      </w:r>
    </w:p>
    <w:p w:rsidR="00FB782F" w:rsidRPr="00FB782F" w:rsidRDefault="00FB782F" w:rsidP="00FB782F">
      <w:pPr>
        <w:spacing w:after="0" w:line="240" w:lineRule="auto"/>
        <w:jc w:val="both"/>
        <w:rPr>
          <w:rFonts w:asciiTheme="minorHAnsi" w:hAnsi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4"/>
        <w:gridCol w:w="3470"/>
        <w:gridCol w:w="1749"/>
        <w:gridCol w:w="8287"/>
      </w:tblGrid>
      <w:tr w:rsidR="00CB02FA" w:rsidRPr="00FB782F" w:rsidTr="00B21F3D">
        <w:trPr>
          <w:trHeight w:val="484"/>
        </w:trPr>
        <w:tc>
          <w:tcPr>
            <w:tcW w:w="251" w:type="pct"/>
            <w:shd w:val="clear" w:color="auto" w:fill="F2F2F2"/>
            <w:vAlign w:val="center"/>
          </w:tcPr>
          <w:p w:rsidR="00CB02FA" w:rsidRPr="00FB782F" w:rsidRDefault="00CB02FA" w:rsidP="00356891">
            <w:pPr>
              <w:spacing w:after="0" w:line="240" w:lineRule="auto"/>
              <w:jc w:val="center"/>
              <w:rPr>
                <w:rFonts w:asciiTheme="minorHAnsi" w:hAnsiTheme="minorHAnsi" w:cs="Arial"/>
                <w:b/>
                <w:sz w:val="20"/>
                <w:szCs w:val="20"/>
              </w:rPr>
            </w:pPr>
            <w:r w:rsidRPr="00FB782F">
              <w:rPr>
                <w:rFonts w:asciiTheme="minorHAnsi" w:hAnsiTheme="minorHAnsi" w:cs="Arial"/>
                <w:b/>
                <w:sz w:val="20"/>
                <w:szCs w:val="20"/>
              </w:rPr>
              <w:t>Lp.</w:t>
            </w:r>
          </w:p>
        </w:tc>
        <w:tc>
          <w:tcPr>
            <w:tcW w:w="1220" w:type="pct"/>
            <w:shd w:val="clear" w:color="auto" w:fill="F2F2F2"/>
            <w:vAlign w:val="center"/>
          </w:tcPr>
          <w:p w:rsidR="00CB02FA" w:rsidRPr="00FB782F" w:rsidRDefault="00CB02FA" w:rsidP="00356891">
            <w:pPr>
              <w:spacing w:after="0" w:line="240" w:lineRule="auto"/>
              <w:jc w:val="center"/>
              <w:rPr>
                <w:rFonts w:asciiTheme="minorHAnsi" w:hAnsiTheme="minorHAnsi" w:cs="Arial"/>
                <w:b/>
                <w:sz w:val="20"/>
                <w:szCs w:val="20"/>
              </w:rPr>
            </w:pPr>
            <w:r w:rsidRPr="00FB782F">
              <w:rPr>
                <w:rFonts w:asciiTheme="minorHAnsi" w:hAnsiTheme="minorHAnsi" w:cs="Arial"/>
                <w:b/>
                <w:sz w:val="20"/>
                <w:szCs w:val="20"/>
              </w:rPr>
              <w:t>Nazwa wskaźnika</w:t>
            </w:r>
          </w:p>
        </w:tc>
        <w:tc>
          <w:tcPr>
            <w:tcW w:w="615" w:type="pct"/>
            <w:shd w:val="clear" w:color="auto" w:fill="F2F2F2"/>
            <w:vAlign w:val="center"/>
          </w:tcPr>
          <w:p w:rsidR="00CB02FA" w:rsidRPr="00FB782F" w:rsidRDefault="00CB02FA" w:rsidP="00356891">
            <w:pPr>
              <w:spacing w:after="0" w:line="240" w:lineRule="auto"/>
              <w:jc w:val="center"/>
              <w:rPr>
                <w:rFonts w:asciiTheme="minorHAnsi" w:hAnsiTheme="minorHAnsi" w:cs="Arial"/>
                <w:b/>
                <w:sz w:val="20"/>
                <w:szCs w:val="20"/>
              </w:rPr>
            </w:pPr>
            <w:r w:rsidRPr="00FB782F">
              <w:rPr>
                <w:rFonts w:asciiTheme="minorHAnsi" w:hAnsiTheme="minorHAnsi" w:cs="Arial"/>
                <w:b/>
                <w:sz w:val="20"/>
                <w:szCs w:val="20"/>
              </w:rPr>
              <w:t>Jednostka miary</w:t>
            </w:r>
          </w:p>
        </w:tc>
        <w:tc>
          <w:tcPr>
            <w:tcW w:w="2914" w:type="pct"/>
            <w:shd w:val="clear" w:color="auto" w:fill="F2F2F2"/>
            <w:vAlign w:val="center"/>
          </w:tcPr>
          <w:p w:rsidR="00CB02FA" w:rsidRPr="00FB782F" w:rsidRDefault="00CB02FA" w:rsidP="00356891">
            <w:pPr>
              <w:spacing w:after="0" w:line="240" w:lineRule="auto"/>
              <w:jc w:val="center"/>
              <w:rPr>
                <w:rFonts w:asciiTheme="minorHAnsi" w:hAnsiTheme="minorHAnsi" w:cs="Arial"/>
                <w:b/>
                <w:sz w:val="20"/>
                <w:szCs w:val="20"/>
              </w:rPr>
            </w:pPr>
            <w:r w:rsidRPr="00FB782F">
              <w:rPr>
                <w:rFonts w:asciiTheme="minorHAnsi" w:hAnsiTheme="minorHAnsi" w:cs="Arial"/>
                <w:b/>
                <w:sz w:val="20"/>
                <w:szCs w:val="20"/>
              </w:rPr>
              <w:t>Definicja</w:t>
            </w:r>
          </w:p>
        </w:tc>
      </w:tr>
      <w:tr w:rsidR="00683050" w:rsidRPr="00FB782F" w:rsidTr="00B21F3D">
        <w:trPr>
          <w:trHeight w:val="535"/>
        </w:trPr>
        <w:tc>
          <w:tcPr>
            <w:tcW w:w="5000" w:type="pct"/>
            <w:gridSpan w:val="4"/>
            <w:shd w:val="clear" w:color="auto" w:fill="F2F2F2"/>
            <w:vAlign w:val="center"/>
          </w:tcPr>
          <w:p w:rsidR="00683050" w:rsidRPr="00FB782F" w:rsidRDefault="00683050" w:rsidP="00356891">
            <w:pPr>
              <w:spacing w:after="0" w:line="240" w:lineRule="auto"/>
              <w:jc w:val="center"/>
              <w:rPr>
                <w:rFonts w:asciiTheme="minorHAnsi" w:hAnsiTheme="minorHAnsi" w:cs="Arial"/>
                <w:b/>
                <w:sz w:val="20"/>
                <w:szCs w:val="20"/>
              </w:rPr>
            </w:pPr>
            <w:r w:rsidRPr="00FB782F">
              <w:rPr>
                <w:rFonts w:asciiTheme="minorHAnsi" w:hAnsiTheme="minorHAnsi" w:cs="Arial"/>
                <w:b/>
                <w:sz w:val="20"/>
                <w:szCs w:val="20"/>
              </w:rPr>
              <w:t>Wskaźnik rezultatu bezpośredniego</w:t>
            </w:r>
          </w:p>
        </w:tc>
      </w:tr>
      <w:tr w:rsidR="000E32B0" w:rsidRPr="00FB782F" w:rsidTr="00B21F3D">
        <w:trPr>
          <w:trHeight w:val="575"/>
        </w:trPr>
        <w:tc>
          <w:tcPr>
            <w:tcW w:w="251" w:type="pct"/>
            <w:shd w:val="clear" w:color="auto" w:fill="FFFFFF"/>
            <w:vAlign w:val="center"/>
          </w:tcPr>
          <w:p w:rsidR="000E32B0" w:rsidRPr="00FB782F" w:rsidRDefault="00FB782F" w:rsidP="00356891">
            <w:pPr>
              <w:spacing w:after="0" w:line="240" w:lineRule="auto"/>
              <w:jc w:val="center"/>
              <w:rPr>
                <w:rFonts w:asciiTheme="minorHAnsi" w:hAnsiTheme="minorHAnsi"/>
                <w:sz w:val="20"/>
                <w:szCs w:val="20"/>
              </w:rPr>
            </w:pPr>
            <w:r>
              <w:rPr>
                <w:rFonts w:asciiTheme="minorHAnsi" w:hAnsiTheme="minorHAnsi"/>
                <w:sz w:val="20"/>
                <w:szCs w:val="20"/>
              </w:rPr>
              <w:t>1</w:t>
            </w:r>
          </w:p>
        </w:tc>
        <w:tc>
          <w:tcPr>
            <w:tcW w:w="1220" w:type="pct"/>
            <w:shd w:val="clear" w:color="auto" w:fill="FFFFFF"/>
            <w:vAlign w:val="center"/>
          </w:tcPr>
          <w:p w:rsidR="000E32B0" w:rsidRPr="00FB782F" w:rsidRDefault="000E32B0" w:rsidP="00356891">
            <w:pPr>
              <w:pStyle w:val="Nagwek3"/>
              <w:spacing w:line="240" w:lineRule="auto"/>
              <w:jc w:val="center"/>
              <w:rPr>
                <w:rFonts w:asciiTheme="minorHAnsi" w:hAnsiTheme="minorHAnsi"/>
                <w:b w:val="0"/>
                <w:color w:val="auto"/>
                <w:sz w:val="20"/>
                <w:szCs w:val="20"/>
              </w:rPr>
            </w:pPr>
            <w:bookmarkStart w:id="0" w:name="_Toc474224415"/>
            <w:r w:rsidRPr="00FB782F">
              <w:rPr>
                <w:rFonts w:asciiTheme="minorHAnsi" w:hAnsiTheme="minorHAnsi"/>
                <w:b w:val="0"/>
                <w:color w:val="auto"/>
                <w:sz w:val="20"/>
                <w:szCs w:val="20"/>
              </w:rPr>
              <w:t>Liczba projektów B+R realizowanych przy wykorzystaniu wspartej infrastruktury badawczej</w:t>
            </w:r>
            <w:bookmarkEnd w:id="0"/>
          </w:p>
          <w:p w:rsidR="000E32B0" w:rsidRPr="00FB782F" w:rsidRDefault="000E32B0" w:rsidP="00356891">
            <w:pPr>
              <w:pStyle w:val="Nagwek3"/>
              <w:spacing w:line="240" w:lineRule="auto"/>
              <w:jc w:val="center"/>
              <w:rPr>
                <w:rFonts w:asciiTheme="minorHAnsi" w:eastAsia="Times New Roman" w:hAnsiTheme="minorHAnsi"/>
                <w:b w:val="0"/>
                <w:color w:val="auto"/>
                <w:sz w:val="20"/>
                <w:szCs w:val="20"/>
                <w:lang w:eastAsia="pl-PL"/>
              </w:rPr>
            </w:pPr>
          </w:p>
        </w:tc>
        <w:tc>
          <w:tcPr>
            <w:tcW w:w="615" w:type="pct"/>
            <w:shd w:val="clear" w:color="auto" w:fill="FFFFFF"/>
            <w:vAlign w:val="center"/>
          </w:tcPr>
          <w:p w:rsidR="000E32B0" w:rsidRPr="00FB782F" w:rsidRDefault="000E32B0" w:rsidP="00356891">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0E32B0" w:rsidRPr="00FB782F" w:rsidRDefault="000E32B0" w:rsidP="00356891">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Liczba projektów obejmujących prace B+R, przy realizacji których wykorzystana została wsparta infrastruktura badawcza, w ciągu 12 miesięcy od zakończenia projektu.</w:t>
            </w:r>
          </w:p>
        </w:tc>
      </w:tr>
      <w:tr w:rsidR="000E32B0" w:rsidRPr="00FB782F" w:rsidTr="00B21F3D">
        <w:trPr>
          <w:trHeight w:val="575"/>
        </w:trPr>
        <w:tc>
          <w:tcPr>
            <w:tcW w:w="251" w:type="pct"/>
            <w:shd w:val="clear" w:color="auto" w:fill="FFFFFF"/>
            <w:vAlign w:val="center"/>
          </w:tcPr>
          <w:p w:rsidR="000E32B0" w:rsidRPr="00FB782F" w:rsidRDefault="00FB782F" w:rsidP="00356891">
            <w:pPr>
              <w:spacing w:after="0" w:line="240" w:lineRule="auto"/>
              <w:jc w:val="center"/>
              <w:rPr>
                <w:rFonts w:asciiTheme="minorHAnsi" w:hAnsiTheme="minorHAnsi"/>
                <w:sz w:val="20"/>
                <w:szCs w:val="20"/>
              </w:rPr>
            </w:pPr>
            <w:r>
              <w:rPr>
                <w:rFonts w:asciiTheme="minorHAnsi" w:hAnsiTheme="minorHAnsi"/>
                <w:sz w:val="20"/>
                <w:szCs w:val="20"/>
              </w:rPr>
              <w:t>2</w:t>
            </w:r>
          </w:p>
        </w:tc>
        <w:tc>
          <w:tcPr>
            <w:tcW w:w="1220" w:type="pct"/>
            <w:shd w:val="clear" w:color="auto" w:fill="FFFFFF"/>
            <w:vAlign w:val="center"/>
          </w:tcPr>
          <w:p w:rsidR="000E32B0" w:rsidRPr="00FB782F" w:rsidRDefault="000E32B0" w:rsidP="00356891">
            <w:pPr>
              <w:pStyle w:val="Nagwek3"/>
              <w:spacing w:line="240" w:lineRule="auto"/>
              <w:jc w:val="center"/>
              <w:rPr>
                <w:rFonts w:asciiTheme="minorHAnsi" w:eastAsia="Times New Roman" w:hAnsiTheme="minorHAnsi"/>
                <w:b w:val="0"/>
                <w:color w:val="auto"/>
                <w:sz w:val="20"/>
                <w:szCs w:val="20"/>
                <w:lang w:eastAsia="pl-PL"/>
              </w:rPr>
            </w:pPr>
            <w:bookmarkStart w:id="1" w:name="_Toc474224430"/>
            <w:r w:rsidRPr="00FB782F">
              <w:rPr>
                <w:rFonts w:asciiTheme="minorHAnsi" w:eastAsia="Times New Roman" w:hAnsiTheme="minorHAnsi"/>
                <w:b w:val="0"/>
                <w:color w:val="auto"/>
                <w:sz w:val="20"/>
                <w:szCs w:val="20"/>
                <w:lang w:eastAsia="pl-PL"/>
              </w:rPr>
              <w:t>Liczba wdrożonych wyników prac B+R</w:t>
            </w:r>
            <w:bookmarkEnd w:id="1"/>
          </w:p>
          <w:p w:rsidR="000E32B0" w:rsidRPr="00FB782F" w:rsidRDefault="000E32B0" w:rsidP="00356891">
            <w:pPr>
              <w:pStyle w:val="Nagwek3"/>
              <w:spacing w:line="240" w:lineRule="auto"/>
              <w:jc w:val="center"/>
              <w:rPr>
                <w:rFonts w:asciiTheme="minorHAnsi" w:eastAsia="Times New Roman" w:hAnsiTheme="minorHAnsi"/>
                <w:b w:val="0"/>
                <w:color w:val="auto"/>
                <w:sz w:val="20"/>
                <w:szCs w:val="20"/>
                <w:lang w:eastAsia="pl-PL"/>
              </w:rPr>
            </w:pPr>
          </w:p>
        </w:tc>
        <w:tc>
          <w:tcPr>
            <w:tcW w:w="615" w:type="pct"/>
            <w:shd w:val="clear" w:color="auto" w:fill="FFFFFF"/>
            <w:vAlign w:val="center"/>
          </w:tcPr>
          <w:p w:rsidR="000E32B0" w:rsidRPr="00FB782F" w:rsidRDefault="000E32B0" w:rsidP="00356891">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0E32B0" w:rsidRPr="00FB782F" w:rsidRDefault="000E32B0" w:rsidP="00356891">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Liczba zakończonych pozytywnym rezultatem prac wdrożeniowych, mających na celu zastosowanie wyników prac badawczo-rozwojowych (prowadzonych, zakupionych, zleconych lub wdrażanych przez przedsiębiorstwo w ramach realizowanego projektu) poprzez uruchomienie produkcji nowych wyrobów lub modernizację wyrobów produkowanych i wprowadzenie nowych metod wytwarzania, które poprzedzają rozpoczęcie produkcji na skalę przemysłową.</w:t>
            </w:r>
          </w:p>
        </w:tc>
      </w:tr>
      <w:tr w:rsidR="000E32B0" w:rsidRPr="00FB782F" w:rsidTr="00B21F3D">
        <w:trPr>
          <w:trHeight w:val="575"/>
        </w:trPr>
        <w:tc>
          <w:tcPr>
            <w:tcW w:w="251" w:type="pct"/>
            <w:shd w:val="clear" w:color="auto" w:fill="FFFFFF"/>
            <w:vAlign w:val="center"/>
          </w:tcPr>
          <w:p w:rsidR="000E32B0" w:rsidRPr="00FB782F" w:rsidRDefault="00FB782F" w:rsidP="00356891">
            <w:pPr>
              <w:spacing w:after="0" w:line="240" w:lineRule="auto"/>
              <w:jc w:val="center"/>
              <w:rPr>
                <w:rFonts w:asciiTheme="minorHAnsi" w:hAnsiTheme="minorHAnsi"/>
                <w:sz w:val="20"/>
                <w:szCs w:val="20"/>
              </w:rPr>
            </w:pPr>
            <w:r>
              <w:rPr>
                <w:rFonts w:asciiTheme="minorHAnsi" w:hAnsiTheme="minorHAnsi"/>
                <w:sz w:val="20"/>
                <w:szCs w:val="20"/>
              </w:rPr>
              <w:t>9</w:t>
            </w:r>
          </w:p>
        </w:tc>
        <w:tc>
          <w:tcPr>
            <w:tcW w:w="1220" w:type="pct"/>
            <w:shd w:val="clear" w:color="auto" w:fill="FFFFFF"/>
            <w:vAlign w:val="center"/>
          </w:tcPr>
          <w:p w:rsidR="000E32B0" w:rsidRPr="00FB782F" w:rsidRDefault="000E32B0" w:rsidP="00356891">
            <w:pPr>
              <w:pStyle w:val="Nagwek3"/>
              <w:spacing w:line="240" w:lineRule="auto"/>
              <w:jc w:val="center"/>
              <w:rPr>
                <w:rFonts w:asciiTheme="minorHAnsi" w:eastAsia="Times New Roman" w:hAnsiTheme="minorHAnsi"/>
                <w:b w:val="0"/>
                <w:color w:val="auto"/>
                <w:sz w:val="20"/>
                <w:szCs w:val="20"/>
                <w:lang w:eastAsia="pl-PL"/>
              </w:rPr>
            </w:pPr>
            <w:r w:rsidRPr="00FB782F">
              <w:rPr>
                <w:rFonts w:asciiTheme="minorHAnsi" w:eastAsia="Times New Roman" w:hAnsiTheme="minorHAnsi"/>
                <w:b w:val="0"/>
                <w:color w:val="auto"/>
                <w:sz w:val="20"/>
                <w:szCs w:val="20"/>
                <w:lang w:eastAsia="pl-PL"/>
              </w:rPr>
              <w:t xml:space="preserve">Przychód z wdrożonych wyników </w:t>
            </w:r>
            <w:r w:rsidR="00873B89">
              <w:rPr>
                <w:rFonts w:asciiTheme="minorHAnsi" w:eastAsia="Times New Roman" w:hAnsiTheme="minorHAnsi"/>
                <w:b w:val="0"/>
                <w:color w:val="auto"/>
                <w:sz w:val="20"/>
                <w:szCs w:val="20"/>
                <w:lang w:eastAsia="pl-PL"/>
              </w:rPr>
              <w:t xml:space="preserve">prac </w:t>
            </w:r>
            <w:r w:rsidRPr="00FB782F">
              <w:rPr>
                <w:rFonts w:asciiTheme="minorHAnsi" w:eastAsia="Times New Roman" w:hAnsiTheme="minorHAnsi"/>
                <w:b w:val="0"/>
                <w:color w:val="auto"/>
                <w:sz w:val="20"/>
                <w:szCs w:val="20"/>
                <w:lang w:eastAsia="pl-PL"/>
              </w:rPr>
              <w:t>B+R</w:t>
            </w:r>
          </w:p>
        </w:tc>
        <w:tc>
          <w:tcPr>
            <w:tcW w:w="615" w:type="pct"/>
            <w:shd w:val="clear" w:color="auto" w:fill="FFFFFF"/>
            <w:vAlign w:val="center"/>
          </w:tcPr>
          <w:p w:rsidR="000E32B0" w:rsidRPr="00FB782F" w:rsidRDefault="00F851BD" w:rsidP="00356891">
            <w:pPr>
              <w:spacing w:after="0" w:line="240" w:lineRule="auto"/>
              <w:jc w:val="center"/>
              <w:rPr>
                <w:rFonts w:asciiTheme="minorHAnsi" w:hAnsiTheme="minorHAnsi" w:cs="Arial"/>
                <w:sz w:val="20"/>
                <w:szCs w:val="20"/>
              </w:rPr>
            </w:pPr>
            <w:r w:rsidRPr="00FB782F">
              <w:rPr>
                <w:rFonts w:asciiTheme="minorHAnsi" w:hAnsiTheme="minorHAnsi" w:cs="Arial"/>
                <w:sz w:val="20"/>
                <w:szCs w:val="20"/>
              </w:rPr>
              <w:t>zł</w:t>
            </w:r>
          </w:p>
        </w:tc>
        <w:tc>
          <w:tcPr>
            <w:tcW w:w="2914" w:type="pct"/>
            <w:shd w:val="clear" w:color="auto" w:fill="FFFFFF"/>
            <w:vAlign w:val="center"/>
          </w:tcPr>
          <w:p w:rsidR="00EA52E4" w:rsidRPr="00FB782F" w:rsidRDefault="00EA52E4" w:rsidP="00356891">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Przychód powstały dzięki wdrożeniu wyników prac B+R np.: w rezultacie ich sprzedaży lub udzielenia licencji na ich użytkowanie przez inne podmioty, czy przychód ze sprzedaży nowych/ulepszonych produktów/usług powstałych w efekcie wdrożenia wyników projektu.</w:t>
            </w:r>
          </w:p>
          <w:p w:rsidR="000E32B0" w:rsidRPr="00FB782F" w:rsidRDefault="00EA52E4" w:rsidP="00356891">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Wartość wskaźnika liczona sumarycznie za wszystkie lata </w:t>
            </w:r>
            <w:r w:rsidR="00F42F56">
              <w:rPr>
                <w:rFonts w:asciiTheme="minorHAnsi" w:eastAsia="Times New Roman" w:hAnsiTheme="minorHAnsi"/>
                <w:sz w:val="20"/>
                <w:szCs w:val="20"/>
                <w:lang w:eastAsia="pl-PL"/>
              </w:rPr>
              <w:t>w okresie</w:t>
            </w:r>
            <w:r w:rsidRPr="00FB782F">
              <w:rPr>
                <w:rFonts w:asciiTheme="minorHAnsi" w:eastAsia="Times New Roman" w:hAnsiTheme="minorHAnsi"/>
                <w:sz w:val="20"/>
                <w:szCs w:val="20"/>
                <w:lang w:eastAsia="pl-PL"/>
              </w:rPr>
              <w:t xml:space="preserve"> trwałości projektu.</w:t>
            </w:r>
          </w:p>
        </w:tc>
      </w:tr>
      <w:tr w:rsidR="00FB782F" w:rsidRPr="00FB782F" w:rsidTr="00B21F3D">
        <w:trPr>
          <w:trHeight w:val="575"/>
        </w:trPr>
        <w:tc>
          <w:tcPr>
            <w:tcW w:w="251" w:type="pct"/>
            <w:shd w:val="clear" w:color="auto" w:fill="FFFFFF"/>
            <w:vAlign w:val="center"/>
          </w:tcPr>
          <w:p w:rsidR="00FB782F" w:rsidRPr="00FB782F" w:rsidRDefault="00FB782F" w:rsidP="00356891">
            <w:pPr>
              <w:spacing w:after="0" w:line="240" w:lineRule="auto"/>
              <w:jc w:val="center"/>
              <w:rPr>
                <w:rFonts w:asciiTheme="minorHAnsi" w:hAnsiTheme="minorHAnsi"/>
                <w:sz w:val="20"/>
                <w:szCs w:val="20"/>
              </w:rPr>
            </w:pPr>
            <w:r>
              <w:rPr>
                <w:rFonts w:asciiTheme="minorHAnsi" w:hAnsiTheme="minorHAnsi"/>
                <w:sz w:val="20"/>
                <w:szCs w:val="20"/>
              </w:rPr>
              <w:t>4</w:t>
            </w:r>
          </w:p>
        </w:tc>
        <w:tc>
          <w:tcPr>
            <w:tcW w:w="1220" w:type="pct"/>
            <w:shd w:val="clear" w:color="auto" w:fill="FFFFFF"/>
            <w:vAlign w:val="center"/>
          </w:tcPr>
          <w:p w:rsidR="00FB782F" w:rsidRPr="00FB782F" w:rsidRDefault="00FB782F" w:rsidP="00C502FF">
            <w:pPr>
              <w:pStyle w:val="Nagwek3"/>
              <w:jc w:val="center"/>
              <w:rPr>
                <w:rFonts w:asciiTheme="minorHAnsi" w:eastAsia="Times New Roman" w:hAnsiTheme="minorHAnsi" w:cs="Times New Roman"/>
                <w:b w:val="0"/>
                <w:color w:val="auto"/>
                <w:sz w:val="20"/>
                <w:szCs w:val="20"/>
                <w:lang w:eastAsia="pl-PL"/>
              </w:rPr>
            </w:pPr>
            <w:r w:rsidRPr="00FB782F">
              <w:rPr>
                <w:rFonts w:asciiTheme="minorHAnsi" w:eastAsia="Times New Roman" w:hAnsiTheme="minorHAnsi" w:cs="Times New Roman"/>
                <w:b w:val="0"/>
                <w:color w:val="auto"/>
                <w:sz w:val="20"/>
                <w:szCs w:val="20"/>
                <w:lang w:eastAsia="pl-PL"/>
              </w:rPr>
              <w:t>Liczba wprowadzonych innowacji produktowych</w:t>
            </w:r>
          </w:p>
        </w:tc>
        <w:tc>
          <w:tcPr>
            <w:tcW w:w="615" w:type="pct"/>
            <w:shd w:val="clear" w:color="auto" w:fill="FFFFFF"/>
            <w:vAlign w:val="center"/>
          </w:tcPr>
          <w:p w:rsidR="00FB782F" w:rsidRPr="00FB782F" w:rsidRDefault="00FB782F" w:rsidP="00C502FF">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FB782F" w:rsidRPr="00FB782F" w:rsidRDefault="00FB782F" w:rsidP="00C502F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Liczba innowacji produktowych, wprowadzonych w przedsiębiorstwie w wyniku realizacji projektu. </w:t>
            </w:r>
          </w:p>
          <w:p w:rsidR="00FB782F" w:rsidRPr="00FB782F" w:rsidRDefault="00FB782F" w:rsidP="00C502FF">
            <w:pPr>
              <w:spacing w:after="0" w:line="240" w:lineRule="auto"/>
              <w:jc w:val="both"/>
              <w:rPr>
                <w:rFonts w:asciiTheme="minorHAnsi" w:eastAsia="Times New Roman" w:hAnsiTheme="minorHAnsi"/>
                <w:sz w:val="20"/>
                <w:szCs w:val="20"/>
                <w:lang w:eastAsia="pl-PL"/>
              </w:rPr>
            </w:pPr>
          </w:p>
          <w:p w:rsidR="00FB782F" w:rsidRPr="00FB782F" w:rsidRDefault="00FB782F" w:rsidP="00C502F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Innowacja produktowa to wprowadzenie wyrobu lub usługi, które są nowe lub znacząco udoskonalone w zakresie swoich cech lub zastosowań. Zalicza się tu znaczące udoskonalenia pod względem specyfikacji technicznych, komponentów i materiałów, wbudowanego oprogramowania, </w:t>
            </w:r>
            <w:r w:rsidRPr="00FB782F">
              <w:rPr>
                <w:rFonts w:asciiTheme="minorHAnsi" w:eastAsia="Times New Roman" w:hAnsiTheme="minorHAnsi"/>
                <w:sz w:val="20"/>
                <w:szCs w:val="20"/>
                <w:lang w:eastAsia="pl-PL"/>
              </w:rPr>
              <w:lastRenderedPageBreak/>
              <w:t xml:space="preserve">łatwości obsługi lub innych cech funkcjonalnych.  Definicja oparta na OECD, Podręcznik Oslo. Zasady gromadzenia i interpretacji danych dotyczących innowacji. Pomiar działalności naukowej </w:t>
            </w:r>
            <w:r w:rsidR="00F5575E">
              <w:rPr>
                <w:rFonts w:asciiTheme="minorHAnsi" w:eastAsia="Times New Roman" w:hAnsiTheme="minorHAnsi"/>
                <w:sz w:val="20"/>
                <w:szCs w:val="20"/>
                <w:lang w:eastAsia="pl-PL"/>
              </w:rPr>
              <w:br/>
            </w:r>
            <w:bookmarkStart w:id="2" w:name="_GoBack"/>
            <w:bookmarkEnd w:id="2"/>
            <w:r w:rsidRPr="00FB782F">
              <w:rPr>
                <w:rFonts w:asciiTheme="minorHAnsi" w:eastAsia="Times New Roman" w:hAnsiTheme="minorHAnsi"/>
                <w:sz w:val="20"/>
                <w:szCs w:val="20"/>
                <w:lang w:eastAsia="pl-PL"/>
              </w:rPr>
              <w:t>i technicznej (wydanie 3).</w:t>
            </w:r>
          </w:p>
        </w:tc>
      </w:tr>
      <w:tr w:rsidR="00FB782F" w:rsidRPr="00FB782F" w:rsidTr="00B21F3D">
        <w:trPr>
          <w:trHeight w:val="575"/>
        </w:trPr>
        <w:tc>
          <w:tcPr>
            <w:tcW w:w="251" w:type="pct"/>
            <w:shd w:val="clear" w:color="auto" w:fill="FFFFFF"/>
            <w:vAlign w:val="center"/>
          </w:tcPr>
          <w:p w:rsidR="00FB782F" w:rsidRPr="00FB782F" w:rsidRDefault="00FB782F" w:rsidP="00356891">
            <w:pPr>
              <w:spacing w:after="0" w:line="240" w:lineRule="auto"/>
              <w:jc w:val="center"/>
              <w:rPr>
                <w:rFonts w:asciiTheme="minorHAnsi" w:hAnsiTheme="minorHAnsi"/>
                <w:sz w:val="20"/>
                <w:szCs w:val="20"/>
              </w:rPr>
            </w:pPr>
            <w:r>
              <w:rPr>
                <w:rFonts w:asciiTheme="minorHAnsi" w:hAnsiTheme="minorHAnsi"/>
                <w:sz w:val="20"/>
                <w:szCs w:val="20"/>
              </w:rPr>
              <w:lastRenderedPageBreak/>
              <w:t>5</w:t>
            </w:r>
          </w:p>
        </w:tc>
        <w:tc>
          <w:tcPr>
            <w:tcW w:w="1220" w:type="pct"/>
            <w:shd w:val="clear" w:color="auto" w:fill="FFFFFF"/>
            <w:vAlign w:val="center"/>
          </w:tcPr>
          <w:p w:rsidR="00FB782F" w:rsidRPr="00FB782F" w:rsidRDefault="00FB782F" w:rsidP="00C502FF">
            <w:pPr>
              <w:pStyle w:val="Nagwek3"/>
              <w:jc w:val="center"/>
              <w:rPr>
                <w:rFonts w:asciiTheme="minorHAnsi" w:eastAsia="Times New Roman" w:hAnsiTheme="minorHAnsi" w:cs="Times New Roman"/>
                <w:b w:val="0"/>
                <w:color w:val="auto"/>
                <w:sz w:val="20"/>
                <w:szCs w:val="20"/>
                <w:lang w:eastAsia="pl-PL"/>
              </w:rPr>
            </w:pPr>
            <w:r w:rsidRPr="00FB782F">
              <w:rPr>
                <w:rFonts w:asciiTheme="minorHAnsi" w:eastAsia="Times New Roman" w:hAnsiTheme="minorHAnsi" w:cs="Times New Roman"/>
                <w:b w:val="0"/>
                <w:color w:val="auto"/>
                <w:sz w:val="20"/>
                <w:szCs w:val="20"/>
                <w:lang w:eastAsia="pl-PL"/>
              </w:rPr>
              <w:t>Liczba wprowadzonych innowacji procesowych</w:t>
            </w:r>
          </w:p>
        </w:tc>
        <w:tc>
          <w:tcPr>
            <w:tcW w:w="615" w:type="pct"/>
            <w:shd w:val="clear" w:color="auto" w:fill="FFFFFF"/>
            <w:vAlign w:val="center"/>
          </w:tcPr>
          <w:p w:rsidR="00FB782F" w:rsidRPr="00FB782F" w:rsidRDefault="00FB782F" w:rsidP="00C502FF">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FB782F" w:rsidRPr="00FB782F" w:rsidRDefault="00FB782F" w:rsidP="00C502F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Liczba innowacji procesowych, wprowadzonych w przedsiębiorstwie w wyniku realizacji projektu. </w:t>
            </w:r>
          </w:p>
          <w:p w:rsidR="00FB782F" w:rsidRPr="00FB782F" w:rsidRDefault="00FB782F" w:rsidP="00C502FF">
            <w:pPr>
              <w:spacing w:after="0" w:line="240" w:lineRule="auto"/>
              <w:jc w:val="both"/>
              <w:rPr>
                <w:rFonts w:asciiTheme="minorHAnsi" w:eastAsia="Times New Roman" w:hAnsiTheme="minorHAnsi"/>
                <w:sz w:val="20"/>
                <w:szCs w:val="20"/>
                <w:lang w:eastAsia="pl-PL"/>
              </w:rPr>
            </w:pPr>
          </w:p>
          <w:p w:rsidR="00FB782F" w:rsidRPr="00FB782F" w:rsidRDefault="00FB782F" w:rsidP="00C502F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Innowacja procesowa to wdrożenie nowej lub znacznie udoskonalonej  metody produkcji lub dostarczania towarów i usług. Do tej kategorii zalicza się znaczące zmiany w zakresie technologii, urządzeń oraz/lub oprogramowania.</w:t>
            </w:r>
          </w:p>
          <w:p w:rsidR="00FB782F" w:rsidRPr="00FB782F" w:rsidRDefault="00FB782F" w:rsidP="00C502F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Definicja oparta na rozporządzeniu Komisji (UE) nr 651/2014 z dnia 17 czerwca 2014 r. uznającego niektóre rodzaje pomocy za zgodne z rynkiem wewnętrznym w zastosowaniu art. 107 i 108 Traktatu (Dz. Urz. UE L 187 z 26.6.2014, str. 1).  </w:t>
            </w:r>
          </w:p>
        </w:tc>
      </w:tr>
      <w:tr w:rsidR="00FB782F" w:rsidRPr="00FB782F" w:rsidTr="00B21F3D">
        <w:trPr>
          <w:trHeight w:val="575"/>
        </w:trPr>
        <w:tc>
          <w:tcPr>
            <w:tcW w:w="251" w:type="pct"/>
            <w:shd w:val="clear" w:color="auto" w:fill="FFFFFF"/>
            <w:vAlign w:val="center"/>
          </w:tcPr>
          <w:p w:rsidR="00FB782F" w:rsidRPr="00FB782F" w:rsidRDefault="00FB782F" w:rsidP="00356891">
            <w:pPr>
              <w:spacing w:after="0" w:line="240" w:lineRule="auto"/>
              <w:jc w:val="center"/>
              <w:rPr>
                <w:rFonts w:asciiTheme="minorHAnsi" w:hAnsiTheme="minorHAnsi"/>
                <w:sz w:val="20"/>
                <w:szCs w:val="20"/>
              </w:rPr>
            </w:pPr>
            <w:r>
              <w:rPr>
                <w:rFonts w:asciiTheme="minorHAnsi" w:hAnsiTheme="minorHAnsi"/>
                <w:sz w:val="20"/>
                <w:szCs w:val="20"/>
              </w:rPr>
              <w:t>6</w:t>
            </w:r>
          </w:p>
        </w:tc>
        <w:tc>
          <w:tcPr>
            <w:tcW w:w="1220" w:type="pct"/>
            <w:shd w:val="clear" w:color="auto" w:fill="FFFFFF"/>
            <w:vAlign w:val="center"/>
          </w:tcPr>
          <w:p w:rsidR="00FB782F" w:rsidRPr="00FB782F" w:rsidRDefault="00FB782F" w:rsidP="00C502FF">
            <w:pPr>
              <w:pStyle w:val="Nagwek3"/>
              <w:jc w:val="center"/>
              <w:rPr>
                <w:rFonts w:asciiTheme="minorHAnsi" w:eastAsia="Times New Roman" w:hAnsiTheme="minorHAnsi" w:cs="Times New Roman"/>
                <w:b w:val="0"/>
                <w:color w:val="auto"/>
                <w:sz w:val="20"/>
                <w:szCs w:val="20"/>
                <w:lang w:eastAsia="pl-PL"/>
              </w:rPr>
            </w:pPr>
            <w:r w:rsidRPr="00FB782F">
              <w:rPr>
                <w:rFonts w:asciiTheme="minorHAnsi" w:eastAsia="Times New Roman" w:hAnsiTheme="minorHAnsi" w:cs="Times New Roman"/>
                <w:b w:val="0"/>
                <w:color w:val="auto"/>
                <w:sz w:val="20"/>
                <w:szCs w:val="20"/>
                <w:lang w:eastAsia="pl-PL"/>
              </w:rPr>
              <w:t>Liczba wprowadzonych innowacji nietechnologicznych</w:t>
            </w:r>
          </w:p>
        </w:tc>
        <w:tc>
          <w:tcPr>
            <w:tcW w:w="615" w:type="pct"/>
            <w:shd w:val="clear" w:color="auto" w:fill="FFFFFF"/>
            <w:vAlign w:val="center"/>
          </w:tcPr>
          <w:p w:rsidR="00FB782F" w:rsidRPr="00FB782F" w:rsidRDefault="00FB782F" w:rsidP="00C502FF">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FB782F" w:rsidRPr="00FB782F" w:rsidRDefault="00FB782F" w:rsidP="00C502F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Liczba innowacji organizacyjnych i/lub marketingowych, wprowadzonych w przedsiębiorstwie </w:t>
            </w:r>
            <w:r w:rsidR="00F5575E">
              <w:rPr>
                <w:rFonts w:asciiTheme="minorHAnsi" w:eastAsia="Times New Roman" w:hAnsiTheme="minorHAnsi"/>
                <w:sz w:val="20"/>
                <w:szCs w:val="20"/>
                <w:lang w:eastAsia="pl-PL"/>
              </w:rPr>
              <w:br/>
            </w:r>
            <w:r w:rsidRPr="00FB782F">
              <w:rPr>
                <w:rFonts w:asciiTheme="minorHAnsi" w:eastAsia="Times New Roman" w:hAnsiTheme="minorHAnsi"/>
                <w:sz w:val="20"/>
                <w:szCs w:val="20"/>
                <w:lang w:eastAsia="pl-PL"/>
              </w:rPr>
              <w:t xml:space="preserve">w wyniku realizacji projektu. </w:t>
            </w:r>
          </w:p>
          <w:p w:rsidR="00FB782F" w:rsidRPr="00FB782F" w:rsidRDefault="00FB782F" w:rsidP="00C502FF">
            <w:pPr>
              <w:spacing w:after="0" w:line="240" w:lineRule="auto"/>
              <w:jc w:val="both"/>
              <w:rPr>
                <w:rFonts w:asciiTheme="minorHAnsi" w:eastAsia="Times New Roman" w:hAnsiTheme="minorHAnsi"/>
                <w:sz w:val="20"/>
                <w:szCs w:val="20"/>
                <w:lang w:eastAsia="pl-PL"/>
              </w:rPr>
            </w:pPr>
          </w:p>
          <w:p w:rsidR="00FB782F" w:rsidRPr="00FB782F" w:rsidRDefault="00FB782F" w:rsidP="00C502F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Innowacja organizacyjna to wprowadzenie nowej metody organizacyjnej do praktyk prowadzenia działalności przedsiębiorstwa, organizacji pracy lub relacji z podmiotami zewnętrznymi.</w:t>
            </w:r>
          </w:p>
          <w:p w:rsidR="00FB782F" w:rsidRPr="00FB782F" w:rsidRDefault="00FB782F" w:rsidP="00C502F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Definicja oparta na rozporządzeniu Komisji (UE) nr 651/2014 z dnia 17 czerwca 2014 r. uznającego niektóre rodzaje pomocy za zgodne z rynkiem wewnętrznym w zastosowaniu art. 107 i 108 Traktatu (Dz. Urz. UE L 187 z 26.6.2014, str. 1).</w:t>
            </w:r>
          </w:p>
          <w:p w:rsidR="00FB782F" w:rsidRPr="00FB782F" w:rsidRDefault="00FB782F" w:rsidP="00C502FF">
            <w:pPr>
              <w:spacing w:after="0" w:line="240" w:lineRule="auto"/>
              <w:jc w:val="both"/>
              <w:rPr>
                <w:rFonts w:asciiTheme="minorHAnsi" w:eastAsia="Times New Roman" w:hAnsiTheme="minorHAnsi"/>
                <w:sz w:val="20"/>
                <w:szCs w:val="20"/>
                <w:lang w:eastAsia="pl-PL"/>
              </w:rPr>
            </w:pPr>
          </w:p>
          <w:p w:rsidR="00FB782F" w:rsidRPr="00FB782F" w:rsidRDefault="00FB782F" w:rsidP="00C502F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Innowacja marketingowa to wdrożenie nowej metody marketingowej wiążącej się ze znaczącymi zmianami w projekcie/konstrukcji produktu lub w opakowaniu, dystrybucji, promocji lub strategii cenowej.</w:t>
            </w:r>
          </w:p>
          <w:p w:rsidR="00FB782F" w:rsidRPr="00FB782F" w:rsidRDefault="00FB782F" w:rsidP="00C502F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Definicja oparta na OECD, Podręczniku Oslo – Zasady gromadzenia i interpretacji danych dotyczących innowacji. Pomiar działalności naukowej i technicznej (wydanie 3).</w:t>
            </w:r>
          </w:p>
        </w:tc>
      </w:tr>
      <w:tr w:rsidR="000E32B0" w:rsidRPr="00FB782F" w:rsidTr="00B21F3D">
        <w:trPr>
          <w:trHeight w:val="575"/>
        </w:trPr>
        <w:tc>
          <w:tcPr>
            <w:tcW w:w="251" w:type="pct"/>
            <w:shd w:val="clear" w:color="auto" w:fill="FFFFFF"/>
            <w:vAlign w:val="center"/>
          </w:tcPr>
          <w:p w:rsidR="000E32B0" w:rsidRPr="00FB782F" w:rsidRDefault="00FB782F" w:rsidP="00356891">
            <w:pPr>
              <w:spacing w:after="0" w:line="240" w:lineRule="auto"/>
              <w:jc w:val="center"/>
              <w:rPr>
                <w:rFonts w:asciiTheme="minorHAnsi" w:hAnsiTheme="minorHAnsi"/>
                <w:sz w:val="20"/>
                <w:szCs w:val="20"/>
              </w:rPr>
            </w:pPr>
            <w:r>
              <w:rPr>
                <w:rFonts w:asciiTheme="minorHAnsi" w:hAnsiTheme="minorHAnsi"/>
                <w:sz w:val="20"/>
                <w:szCs w:val="20"/>
              </w:rPr>
              <w:t>7</w:t>
            </w:r>
          </w:p>
        </w:tc>
        <w:tc>
          <w:tcPr>
            <w:tcW w:w="1220" w:type="pct"/>
            <w:shd w:val="clear" w:color="auto" w:fill="FFFFFF"/>
            <w:vAlign w:val="center"/>
          </w:tcPr>
          <w:p w:rsidR="000E32B0" w:rsidRPr="00FB782F" w:rsidRDefault="000E32B0" w:rsidP="00356891">
            <w:pPr>
              <w:pStyle w:val="Nagwek3"/>
              <w:spacing w:line="240" w:lineRule="auto"/>
              <w:jc w:val="center"/>
              <w:rPr>
                <w:rFonts w:asciiTheme="minorHAnsi" w:hAnsiTheme="minorHAnsi"/>
                <w:b w:val="0"/>
                <w:color w:val="auto"/>
                <w:sz w:val="20"/>
                <w:szCs w:val="20"/>
              </w:rPr>
            </w:pPr>
            <w:bookmarkStart w:id="3" w:name="_Toc474224419"/>
            <w:r w:rsidRPr="00FB782F">
              <w:rPr>
                <w:rFonts w:asciiTheme="minorHAnsi" w:hAnsiTheme="minorHAnsi"/>
                <w:b w:val="0"/>
                <w:color w:val="auto"/>
                <w:sz w:val="20"/>
                <w:szCs w:val="20"/>
              </w:rPr>
              <w:t>Liczba naukowców pracujących w ulepszonych obiektach infrastruktury badawczej (CI25)</w:t>
            </w:r>
            <w:bookmarkEnd w:id="3"/>
          </w:p>
          <w:p w:rsidR="000E32B0" w:rsidRPr="00FB782F" w:rsidRDefault="000E32B0" w:rsidP="00356891">
            <w:pPr>
              <w:pStyle w:val="Nagwek3"/>
              <w:spacing w:line="240" w:lineRule="auto"/>
              <w:jc w:val="center"/>
              <w:rPr>
                <w:rFonts w:asciiTheme="minorHAnsi" w:eastAsia="Times New Roman" w:hAnsiTheme="minorHAnsi"/>
                <w:b w:val="0"/>
                <w:color w:val="auto"/>
                <w:sz w:val="20"/>
                <w:szCs w:val="20"/>
                <w:lang w:eastAsia="pl-PL"/>
              </w:rPr>
            </w:pPr>
          </w:p>
        </w:tc>
        <w:tc>
          <w:tcPr>
            <w:tcW w:w="615" w:type="pct"/>
            <w:shd w:val="clear" w:color="auto" w:fill="FFFFFF"/>
            <w:vAlign w:val="center"/>
          </w:tcPr>
          <w:p w:rsidR="000E32B0" w:rsidRPr="00FB782F" w:rsidRDefault="00873B89" w:rsidP="00356891">
            <w:pPr>
              <w:spacing w:after="0" w:line="240" w:lineRule="auto"/>
              <w:jc w:val="center"/>
              <w:rPr>
                <w:rFonts w:asciiTheme="minorHAnsi" w:hAnsiTheme="minorHAnsi" w:cs="Arial"/>
                <w:sz w:val="20"/>
                <w:szCs w:val="20"/>
              </w:rPr>
            </w:pPr>
            <w:r>
              <w:rPr>
                <w:rFonts w:asciiTheme="minorHAnsi" w:hAnsiTheme="minorHAnsi" w:cs="Arial"/>
                <w:sz w:val="20"/>
                <w:szCs w:val="20"/>
              </w:rPr>
              <w:t>EPC</w:t>
            </w:r>
          </w:p>
        </w:tc>
        <w:tc>
          <w:tcPr>
            <w:tcW w:w="2914" w:type="pct"/>
            <w:shd w:val="clear" w:color="auto" w:fill="FFFFFF"/>
            <w:vAlign w:val="center"/>
          </w:tcPr>
          <w:p w:rsidR="000E32B0" w:rsidRPr="00FB782F" w:rsidRDefault="000E32B0" w:rsidP="00356891">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 xml:space="preserve">Uwzględniane są istniejące stanowiska pracy w obiektach infrastruktury badawczej, pod warunkiem, że dotyczą stanowisk </w:t>
            </w:r>
            <w:r w:rsidR="00BF2DB4">
              <w:rPr>
                <w:rFonts w:asciiTheme="minorHAnsi" w:eastAsia="Times New Roman" w:hAnsiTheme="minorHAnsi"/>
                <w:sz w:val="20"/>
                <w:szCs w:val="20"/>
                <w:lang w:eastAsia="pl-PL"/>
              </w:rPr>
              <w:t>(</w:t>
            </w:r>
            <w:r w:rsidRPr="00FB782F">
              <w:rPr>
                <w:rFonts w:asciiTheme="minorHAnsi" w:eastAsia="Times New Roman" w:hAnsiTheme="minorHAnsi"/>
                <w:sz w:val="20"/>
                <w:szCs w:val="20"/>
                <w:lang w:eastAsia="pl-PL"/>
              </w:rPr>
              <w:t>osób</w:t>
            </w:r>
            <w:r w:rsidR="00BF2DB4">
              <w:rPr>
                <w:rFonts w:asciiTheme="minorHAnsi" w:eastAsia="Times New Roman" w:hAnsiTheme="minorHAnsi"/>
                <w:sz w:val="20"/>
                <w:szCs w:val="20"/>
                <w:lang w:eastAsia="pl-PL"/>
              </w:rPr>
              <w:t>)</w:t>
            </w:r>
            <w:r w:rsidRPr="00FB782F">
              <w:rPr>
                <w:rFonts w:asciiTheme="minorHAnsi" w:eastAsia="Times New Roman" w:hAnsiTheme="minorHAnsi"/>
                <w:sz w:val="20"/>
                <w:szCs w:val="20"/>
                <w:lang w:eastAsia="pl-PL"/>
              </w:rPr>
              <w:t xml:space="preserve"> (1) bezpośrednio wykonujących działalność B+R i (2) bezpośrednio </w:t>
            </w:r>
            <w:r w:rsidR="00021A5F">
              <w:rPr>
                <w:rFonts w:asciiTheme="minorHAnsi" w:eastAsia="Times New Roman" w:hAnsiTheme="minorHAnsi"/>
                <w:sz w:val="20"/>
                <w:szCs w:val="20"/>
                <w:lang w:eastAsia="pl-PL"/>
              </w:rPr>
              <w:t>zaangażowanych</w:t>
            </w:r>
            <w:r w:rsidR="00021A5F" w:rsidRPr="00FB782F">
              <w:rPr>
                <w:rFonts w:asciiTheme="minorHAnsi" w:eastAsia="Times New Roman" w:hAnsiTheme="minorHAnsi"/>
                <w:sz w:val="20"/>
                <w:szCs w:val="20"/>
                <w:lang w:eastAsia="pl-PL"/>
              </w:rPr>
              <w:t xml:space="preserve"> </w:t>
            </w:r>
            <w:r w:rsidR="00021A5F">
              <w:rPr>
                <w:rFonts w:asciiTheme="minorHAnsi" w:eastAsia="Times New Roman" w:hAnsiTheme="minorHAnsi"/>
                <w:sz w:val="20"/>
                <w:szCs w:val="20"/>
                <w:lang w:eastAsia="pl-PL"/>
              </w:rPr>
              <w:t>w przedmiot projektu</w:t>
            </w:r>
            <w:r w:rsidRPr="00FB782F">
              <w:rPr>
                <w:rFonts w:asciiTheme="minorHAnsi" w:eastAsia="Times New Roman" w:hAnsiTheme="minorHAnsi"/>
                <w:sz w:val="20"/>
                <w:szCs w:val="20"/>
                <w:lang w:eastAsia="pl-PL"/>
              </w:rPr>
              <w:t>. Nie uwzględnia się wakatów. Pracownicy wsparcia B+R ( tj. niezaangażowani bezpośrednio w działalność B+R) nie są uwzględniani. Jeśli zatrudnienie w obiekcie w wyniku realizacji projektu wzrasta, nowe stanowiska są uwzględniane. Obiekty mogą być prywatne lub publiczne. Projekt musi poprawić jakość obiektów lub urządzeń, nie uwzględnia się konserwacji lub wymiany bez podwyższenia jakości.</w:t>
            </w:r>
          </w:p>
        </w:tc>
      </w:tr>
      <w:tr w:rsidR="000E32B0" w:rsidRPr="00FB782F" w:rsidTr="00B21F3D">
        <w:trPr>
          <w:trHeight w:val="575"/>
        </w:trPr>
        <w:tc>
          <w:tcPr>
            <w:tcW w:w="251" w:type="pct"/>
            <w:shd w:val="clear" w:color="auto" w:fill="FFFFFF"/>
            <w:vAlign w:val="center"/>
          </w:tcPr>
          <w:p w:rsidR="000E32B0" w:rsidRPr="00FB782F" w:rsidRDefault="00FB782F" w:rsidP="00356891">
            <w:pPr>
              <w:spacing w:after="0" w:line="240" w:lineRule="auto"/>
              <w:jc w:val="center"/>
              <w:rPr>
                <w:rFonts w:asciiTheme="minorHAnsi" w:hAnsiTheme="minorHAnsi"/>
                <w:sz w:val="20"/>
                <w:szCs w:val="20"/>
              </w:rPr>
            </w:pPr>
            <w:r>
              <w:rPr>
                <w:rFonts w:asciiTheme="minorHAnsi" w:hAnsiTheme="minorHAnsi"/>
                <w:sz w:val="20"/>
                <w:szCs w:val="20"/>
              </w:rPr>
              <w:t>8</w:t>
            </w:r>
          </w:p>
          <w:p w:rsidR="00FB782F" w:rsidRPr="00FB782F" w:rsidRDefault="00FB782F" w:rsidP="00FB782F">
            <w:pPr>
              <w:spacing w:after="0" w:line="240" w:lineRule="auto"/>
              <w:rPr>
                <w:rFonts w:asciiTheme="minorHAnsi" w:hAnsiTheme="minorHAnsi"/>
                <w:sz w:val="20"/>
                <w:szCs w:val="20"/>
              </w:rPr>
            </w:pPr>
          </w:p>
        </w:tc>
        <w:tc>
          <w:tcPr>
            <w:tcW w:w="1220" w:type="pct"/>
            <w:shd w:val="clear" w:color="auto" w:fill="FFFFFF"/>
            <w:vAlign w:val="center"/>
          </w:tcPr>
          <w:p w:rsidR="000E32B0" w:rsidRPr="00FB782F" w:rsidRDefault="000E32B0" w:rsidP="00356891">
            <w:pPr>
              <w:pStyle w:val="Nagwek3"/>
              <w:spacing w:line="240" w:lineRule="auto"/>
              <w:jc w:val="center"/>
              <w:rPr>
                <w:rFonts w:asciiTheme="minorHAnsi" w:hAnsiTheme="minorHAnsi"/>
                <w:b w:val="0"/>
                <w:color w:val="auto"/>
                <w:sz w:val="20"/>
                <w:szCs w:val="20"/>
              </w:rPr>
            </w:pPr>
            <w:bookmarkStart w:id="4" w:name="_Toc474224416"/>
            <w:r w:rsidRPr="00FB782F">
              <w:rPr>
                <w:rFonts w:asciiTheme="minorHAnsi" w:eastAsia="Times New Roman" w:hAnsiTheme="minorHAnsi"/>
                <w:b w:val="0"/>
                <w:color w:val="auto"/>
                <w:sz w:val="20"/>
                <w:szCs w:val="20"/>
                <w:lang w:eastAsia="pl-PL"/>
              </w:rPr>
              <w:t xml:space="preserve">Wzrost </w:t>
            </w:r>
            <w:r w:rsidRPr="00FB782F">
              <w:rPr>
                <w:rFonts w:asciiTheme="minorHAnsi" w:hAnsiTheme="minorHAnsi"/>
                <w:b w:val="0"/>
                <w:color w:val="auto"/>
                <w:sz w:val="20"/>
                <w:szCs w:val="20"/>
              </w:rPr>
              <w:t>zatrudnienia</w:t>
            </w:r>
            <w:r w:rsidRPr="00FB782F">
              <w:rPr>
                <w:rFonts w:asciiTheme="minorHAnsi" w:eastAsia="Times New Roman" w:hAnsiTheme="minorHAnsi"/>
                <w:b w:val="0"/>
                <w:color w:val="auto"/>
                <w:sz w:val="20"/>
                <w:szCs w:val="20"/>
                <w:lang w:eastAsia="pl-PL"/>
              </w:rPr>
              <w:t xml:space="preserve"> we wspieranych przedsiębiorstwach (CI8), O/K/M</w:t>
            </w:r>
            <w:bookmarkEnd w:id="4"/>
          </w:p>
          <w:p w:rsidR="000E32B0" w:rsidRPr="00FB782F" w:rsidRDefault="000E32B0" w:rsidP="00356891">
            <w:pPr>
              <w:pStyle w:val="Nagwek3"/>
              <w:spacing w:line="240" w:lineRule="auto"/>
              <w:jc w:val="center"/>
              <w:rPr>
                <w:rFonts w:asciiTheme="minorHAnsi" w:eastAsia="Times New Roman" w:hAnsiTheme="minorHAnsi"/>
                <w:b w:val="0"/>
                <w:color w:val="auto"/>
                <w:sz w:val="20"/>
                <w:szCs w:val="20"/>
                <w:lang w:eastAsia="pl-PL"/>
              </w:rPr>
            </w:pPr>
          </w:p>
        </w:tc>
        <w:tc>
          <w:tcPr>
            <w:tcW w:w="615" w:type="pct"/>
            <w:shd w:val="clear" w:color="auto" w:fill="FFFFFF"/>
            <w:vAlign w:val="center"/>
          </w:tcPr>
          <w:p w:rsidR="000E32B0" w:rsidRPr="00FB782F" w:rsidRDefault="00873B89" w:rsidP="00356891">
            <w:pPr>
              <w:spacing w:after="0" w:line="240" w:lineRule="auto"/>
              <w:jc w:val="center"/>
              <w:rPr>
                <w:rFonts w:asciiTheme="minorHAnsi" w:hAnsiTheme="minorHAnsi" w:cs="Arial"/>
                <w:sz w:val="20"/>
                <w:szCs w:val="20"/>
              </w:rPr>
            </w:pPr>
            <w:r>
              <w:rPr>
                <w:rFonts w:asciiTheme="minorHAnsi" w:hAnsiTheme="minorHAnsi" w:cs="Arial"/>
                <w:sz w:val="20"/>
                <w:szCs w:val="20"/>
              </w:rPr>
              <w:t>EPC</w:t>
            </w:r>
          </w:p>
        </w:tc>
        <w:tc>
          <w:tcPr>
            <w:tcW w:w="2914" w:type="pct"/>
            <w:shd w:val="clear" w:color="auto" w:fill="FFFFFF"/>
            <w:vAlign w:val="center"/>
          </w:tcPr>
          <w:p w:rsidR="000E32B0" w:rsidRPr="00FB782F" w:rsidRDefault="000E32B0" w:rsidP="00356891">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 xml:space="preserve">Liczba nowych miejsc pracy brutto we wspieranych przedsiębiorstwach w przeliczeniu na pełne etaty (EPC). Jest to wskaźnik „przed-po”, który mierzy część wzrostu zatrudnienia, będący bezpośrednią konsekwencją realizacji projektu (pracowników zatrudnionych w celu realizacji projektu nie liczy się). Stanowiska muszą być wypełnione (wakaty nie są liczone) i zwiększać ogólną liczbę miejsc pracy w przedsiębiorstwie. Jeśli łączne zatrudnienie w przedsiębiorstwie nie zwiększa </w:t>
            </w:r>
            <w:r w:rsidRPr="00FB782F">
              <w:rPr>
                <w:rFonts w:asciiTheme="minorHAnsi" w:eastAsia="Times New Roman" w:hAnsiTheme="minorHAnsi"/>
                <w:sz w:val="20"/>
                <w:szCs w:val="20"/>
                <w:lang w:eastAsia="pl-PL"/>
              </w:rPr>
              <w:lastRenderedPageBreak/>
              <w:t>się – wartość wskaźnika wynosi zero – jest on wówczas traktowany jako wyrównanie, nie wzrost. Chronione miejsca pracy itp. również nie są wliczane.</w:t>
            </w:r>
          </w:p>
        </w:tc>
      </w:tr>
      <w:tr w:rsidR="000E32B0" w:rsidRPr="00FB782F" w:rsidTr="00B21F3D">
        <w:trPr>
          <w:trHeight w:val="535"/>
        </w:trPr>
        <w:tc>
          <w:tcPr>
            <w:tcW w:w="5000" w:type="pct"/>
            <w:gridSpan w:val="4"/>
            <w:shd w:val="clear" w:color="auto" w:fill="F2F2F2"/>
            <w:vAlign w:val="center"/>
          </w:tcPr>
          <w:p w:rsidR="000E32B0" w:rsidRPr="00FB782F" w:rsidRDefault="000E32B0" w:rsidP="00356891">
            <w:pPr>
              <w:spacing w:after="0" w:line="240" w:lineRule="auto"/>
              <w:jc w:val="center"/>
              <w:rPr>
                <w:rFonts w:asciiTheme="minorHAnsi" w:hAnsiTheme="minorHAnsi" w:cs="Arial"/>
                <w:b/>
                <w:sz w:val="20"/>
                <w:szCs w:val="20"/>
              </w:rPr>
            </w:pPr>
            <w:r w:rsidRPr="00FB782F">
              <w:rPr>
                <w:rFonts w:asciiTheme="minorHAnsi" w:hAnsiTheme="minorHAnsi" w:cs="Arial"/>
                <w:b/>
                <w:sz w:val="20"/>
                <w:szCs w:val="20"/>
              </w:rPr>
              <w:lastRenderedPageBreak/>
              <w:t>Wskaźnik produktu</w:t>
            </w:r>
          </w:p>
        </w:tc>
      </w:tr>
      <w:tr w:rsidR="00C502FF" w:rsidRPr="000F4C27" w:rsidTr="00B21F3D">
        <w:trPr>
          <w:cantSplit/>
          <w:trHeight w:val="1134"/>
        </w:trPr>
        <w:tc>
          <w:tcPr>
            <w:tcW w:w="251" w:type="pct"/>
            <w:shd w:val="clear" w:color="auto" w:fill="FFFFFF"/>
            <w:vAlign w:val="center"/>
          </w:tcPr>
          <w:p w:rsidR="00C502FF" w:rsidRPr="000F4C27" w:rsidRDefault="00C502FF" w:rsidP="00C502FF">
            <w:pPr>
              <w:spacing w:after="0" w:line="240" w:lineRule="auto"/>
              <w:jc w:val="center"/>
              <w:rPr>
                <w:rFonts w:asciiTheme="minorHAnsi" w:hAnsiTheme="minorHAnsi"/>
                <w:sz w:val="20"/>
                <w:szCs w:val="20"/>
              </w:rPr>
            </w:pPr>
            <w:r w:rsidRPr="000F4C27">
              <w:rPr>
                <w:rFonts w:asciiTheme="minorHAnsi" w:hAnsiTheme="minorHAnsi"/>
                <w:sz w:val="20"/>
                <w:szCs w:val="20"/>
              </w:rPr>
              <w:t>1</w:t>
            </w:r>
          </w:p>
        </w:tc>
        <w:tc>
          <w:tcPr>
            <w:tcW w:w="1220" w:type="pct"/>
            <w:shd w:val="clear" w:color="auto" w:fill="FFFFFF"/>
            <w:vAlign w:val="center"/>
          </w:tcPr>
          <w:p w:rsidR="00C502FF" w:rsidRPr="000F4C27" w:rsidRDefault="00C502FF" w:rsidP="00C502FF">
            <w:pPr>
              <w:pStyle w:val="Nagwek3"/>
              <w:spacing w:line="240" w:lineRule="auto"/>
              <w:jc w:val="center"/>
              <w:rPr>
                <w:rFonts w:asciiTheme="minorHAnsi" w:eastAsia="Times New Roman" w:hAnsiTheme="minorHAnsi"/>
                <w:b w:val="0"/>
                <w:color w:val="auto"/>
                <w:sz w:val="20"/>
                <w:szCs w:val="20"/>
                <w:lang w:eastAsia="pl-PL"/>
              </w:rPr>
            </w:pPr>
            <w:bookmarkStart w:id="5" w:name="_Toc474224425"/>
            <w:r w:rsidRPr="000F4C27">
              <w:rPr>
                <w:rFonts w:asciiTheme="minorHAnsi" w:eastAsia="Times New Roman" w:hAnsiTheme="minorHAnsi"/>
                <w:b w:val="0"/>
                <w:color w:val="auto"/>
                <w:sz w:val="20"/>
                <w:szCs w:val="20"/>
                <w:lang w:eastAsia="pl-PL"/>
              </w:rPr>
              <w:t>Liczba przedsiębiorstw współpracujących z ośrodkami badawczymi (CI26)</w:t>
            </w:r>
            <w:bookmarkEnd w:id="5"/>
          </w:p>
          <w:p w:rsidR="00C502FF" w:rsidRPr="000F4C27" w:rsidRDefault="00C502FF" w:rsidP="00C502FF">
            <w:pPr>
              <w:pStyle w:val="Nagwek3"/>
              <w:spacing w:line="240" w:lineRule="auto"/>
              <w:jc w:val="center"/>
              <w:rPr>
                <w:rFonts w:asciiTheme="minorHAnsi" w:eastAsia="Times New Roman" w:hAnsiTheme="minorHAnsi"/>
                <w:b w:val="0"/>
                <w:color w:val="auto"/>
                <w:sz w:val="20"/>
                <w:szCs w:val="20"/>
                <w:lang w:eastAsia="pl-PL"/>
              </w:rPr>
            </w:pPr>
          </w:p>
        </w:tc>
        <w:tc>
          <w:tcPr>
            <w:tcW w:w="615" w:type="pct"/>
            <w:shd w:val="clear" w:color="auto" w:fill="FFFFFF"/>
            <w:textDirection w:val="btLr"/>
            <w:vAlign w:val="center"/>
          </w:tcPr>
          <w:p w:rsidR="00C502FF" w:rsidRPr="000F4C27" w:rsidRDefault="00873B89" w:rsidP="00873B89">
            <w:pPr>
              <w:spacing w:after="0" w:line="240" w:lineRule="auto"/>
              <w:ind w:left="113" w:right="113"/>
              <w:jc w:val="center"/>
              <w:rPr>
                <w:rFonts w:asciiTheme="minorHAnsi" w:hAnsiTheme="minorHAnsi" w:cs="Arial"/>
                <w:sz w:val="20"/>
                <w:szCs w:val="20"/>
              </w:rPr>
            </w:pPr>
            <w:r>
              <w:rPr>
                <w:rFonts w:asciiTheme="minorHAnsi" w:hAnsiTheme="minorHAnsi" w:cs="Arial"/>
                <w:sz w:val="20"/>
                <w:szCs w:val="20"/>
              </w:rPr>
              <w:t>przedsiębiorstwa</w:t>
            </w:r>
          </w:p>
        </w:tc>
        <w:tc>
          <w:tcPr>
            <w:tcW w:w="2914" w:type="pct"/>
            <w:shd w:val="clear" w:color="auto" w:fill="FFFFFF"/>
            <w:vAlign w:val="center"/>
          </w:tcPr>
          <w:p w:rsidR="00C502FF" w:rsidRPr="000F4C27" w:rsidRDefault="00C502FF" w:rsidP="00C502FF">
            <w:pPr>
              <w:spacing w:after="0" w:line="240" w:lineRule="auto"/>
              <w:jc w:val="both"/>
              <w:rPr>
                <w:rFonts w:asciiTheme="minorHAnsi" w:eastAsia="Times New Roman" w:hAnsiTheme="minorHAnsi"/>
                <w:sz w:val="20"/>
                <w:szCs w:val="20"/>
                <w:lang w:eastAsia="pl-PL"/>
              </w:rPr>
            </w:pPr>
            <w:r w:rsidRPr="000F4C27">
              <w:rPr>
                <w:rFonts w:asciiTheme="minorHAnsi" w:eastAsia="Times New Roman" w:hAnsiTheme="minorHAnsi"/>
                <w:sz w:val="20"/>
                <w:szCs w:val="20"/>
                <w:lang w:eastAsia="pl-PL"/>
              </w:rPr>
              <w:t xml:space="preserve">Liczba przedsiębiorstw, które współpracują z </w:t>
            </w:r>
            <w:r w:rsidR="00E711EE">
              <w:rPr>
                <w:rFonts w:asciiTheme="minorHAnsi" w:eastAsia="Times New Roman" w:hAnsiTheme="minorHAnsi"/>
                <w:sz w:val="20"/>
                <w:szCs w:val="20"/>
                <w:lang w:eastAsia="pl-PL"/>
              </w:rPr>
              <w:t xml:space="preserve">ośrodkami </w:t>
            </w:r>
            <w:r w:rsidRPr="000F4C27">
              <w:rPr>
                <w:rFonts w:asciiTheme="minorHAnsi" w:eastAsia="Times New Roman" w:hAnsiTheme="minorHAnsi"/>
                <w:sz w:val="20"/>
                <w:szCs w:val="20"/>
                <w:lang w:eastAsia="pl-PL"/>
              </w:rPr>
              <w:t xml:space="preserve">badawczymi w projektach badawczo-rozwojowych. </w:t>
            </w:r>
            <w:r w:rsidRPr="000F4C27">
              <w:rPr>
                <w:rFonts w:asciiTheme="minorHAnsi" w:eastAsia="Times New Roman" w:hAnsiTheme="minorHAnsi"/>
                <w:sz w:val="20"/>
                <w:szCs w:val="20"/>
                <w:lang w:eastAsia="pl-PL"/>
              </w:rPr>
              <w:br/>
              <w:t>Co najmniej jedno przedsiębiorstwo oraz jed</w:t>
            </w:r>
            <w:r w:rsidR="00F5575E">
              <w:rPr>
                <w:rFonts w:asciiTheme="minorHAnsi" w:eastAsia="Times New Roman" w:hAnsiTheme="minorHAnsi"/>
                <w:sz w:val="20"/>
                <w:szCs w:val="20"/>
                <w:lang w:eastAsia="pl-PL"/>
              </w:rPr>
              <w:t>en</w:t>
            </w:r>
            <w:r w:rsidRPr="000F4C27">
              <w:rPr>
                <w:rFonts w:asciiTheme="minorHAnsi" w:eastAsia="Times New Roman" w:hAnsiTheme="minorHAnsi"/>
                <w:sz w:val="20"/>
                <w:szCs w:val="20"/>
                <w:lang w:eastAsia="pl-PL"/>
              </w:rPr>
              <w:t xml:space="preserve"> </w:t>
            </w:r>
            <w:r w:rsidR="00F5575E">
              <w:rPr>
                <w:rFonts w:asciiTheme="minorHAnsi" w:eastAsia="Times New Roman" w:hAnsiTheme="minorHAnsi"/>
                <w:sz w:val="20"/>
                <w:szCs w:val="20"/>
                <w:lang w:eastAsia="pl-PL"/>
              </w:rPr>
              <w:t>ośrodek</w:t>
            </w:r>
            <w:r w:rsidR="00F5575E" w:rsidRPr="000F4C27">
              <w:rPr>
                <w:rFonts w:asciiTheme="minorHAnsi" w:eastAsia="Times New Roman" w:hAnsiTheme="minorHAnsi"/>
                <w:sz w:val="20"/>
                <w:szCs w:val="20"/>
                <w:lang w:eastAsia="pl-PL"/>
              </w:rPr>
              <w:t xml:space="preserve"> </w:t>
            </w:r>
            <w:r w:rsidRPr="000F4C27">
              <w:rPr>
                <w:rFonts w:asciiTheme="minorHAnsi" w:eastAsia="Times New Roman" w:hAnsiTheme="minorHAnsi"/>
                <w:sz w:val="20"/>
                <w:szCs w:val="20"/>
                <w:lang w:eastAsia="pl-PL"/>
              </w:rPr>
              <w:t>badawcz</w:t>
            </w:r>
            <w:r w:rsidR="00F5575E">
              <w:rPr>
                <w:rFonts w:asciiTheme="minorHAnsi" w:eastAsia="Times New Roman" w:hAnsiTheme="minorHAnsi"/>
                <w:sz w:val="20"/>
                <w:szCs w:val="20"/>
                <w:lang w:eastAsia="pl-PL"/>
              </w:rPr>
              <w:t>y</w:t>
            </w:r>
            <w:r w:rsidRPr="000F4C27">
              <w:rPr>
                <w:rFonts w:asciiTheme="minorHAnsi" w:eastAsia="Times New Roman" w:hAnsiTheme="minorHAnsi"/>
                <w:sz w:val="20"/>
                <w:szCs w:val="20"/>
                <w:lang w:eastAsia="pl-PL"/>
              </w:rPr>
              <w:t xml:space="preserve"> uczestniczy w projekcie. Jedna lub więcej współpracujących stron (</w:t>
            </w:r>
            <w:r w:rsidR="00F5575E">
              <w:rPr>
                <w:rFonts w:asciiTheme="minorHAnsi" w:eastAsia="Times New Roman" w:hAnsiTheme="minorHAnsi"/>
                <w:sz w:val="20"/>
                <w:szCs w:val="20"/>
                <w:lang w:eastAsia="pl-PL"/>
              </w:rPr>
              <w:t>ośrodków</w:t>
            </w:r>
            <w:r w:rsidR="00F5575E" w:rsidRPr="000F4C27">
              <w:rPr>
                <w:rFonts w:asciiTheme="minorHAnsi" w:eastAsia="Times New Roman" w:hAnsiTheme="minorHAnsi"/>
                <w:sz w:val="20"/>
                <w:szCs w:val="20"/>
                <w:lang w:eastAsia="pl-PL"/>
              </w:rPr>
              <w:t xml:space="preserve"> </w:t>
            </w:r>
            <w:r w:rsidR="00F5575E">
              <w:rPr>
                <w:rFonts w:asciiTheme="minorHAnsi" w:eastAsia="Times New Roman" w:hAnsiTheme="minorHAnsi"/>
                <w:sz w:val="20"/>
                <w:szCs w:val="20"/>
                <w:lang w:eastAsia="pl-PL"/>
              </w:rPr>
              <w:t xml:space="preserve">badawczych </w:t>
            </w:r>
            <w:r w:rsidRPr="000F4C27">
              <w:rPr>
                <w:rFonts w:asciiTheme="minorHAnsi" w:eastAsia="Times New Roman" w:hAnsiTheme="minorHAnsi"/>
                <w:sz w:val="20"/>
                <w:szCs w:val="20"/>
                <w:lang w:eastAsia="pl-PL"/>
              </w:rPr>
              <w:t>i przedsiębiorstw), może otrzymać wsparcie, ale musi być to uzależnione od współpracy. Współpraca może być nowa lub istniejąca. Współpraca powinna trwać co najmniej przez okres projektu.</w:t>
            </w:r>
          </w:p>
          <w:p w:rsidR="00B21F3D" w:rsidRDefault="00C502FF" w:rsidP="00C502FF">
            <w:pPr>
              <w:spacing w:after="0" w:line="240" w:lineRule="auto"/>
              <w:jc w:val="both"/>
              <w:rPr>
                <w:rFonts w:asciiTheme="minorHAnsi" w:eastAsia="Times New Roman" w:hAnsiTheme="minorHAnsi"/>
                <w:sz w:val="20"/>
                <w:szCs w:val="20"/>
                <w:lang w:eastAsia="pl-PL"/>
              </w:rPr>
            </w:pPr>
            <w:r w:rsidRPr="000F4C27">
              <w:rPr>
                <w:rFonts w:asciiTheme="minorHAnsi" w:eastAsia="Times New Roman" w:hAnsiTheme="minorHAnsi"/>
                <w:sz w:val="20"/>
                <w:szCs w:val="20"/>
                <w:u w:val="single"/>
                <w:lang w:eastAsia="pl-PL"/>
              </w:rPr>
              <w:t>Przedsiębiorstwo:</w:t>
            </w:r>
            <w:r w:rsidRPr="000F4C27">
              <w:rPr>
                <w:rFonts w:asciiTheme="minorHAnsi" w:eastAsia="Times New Roman" w:hAnsiTheme="minorHAnsi"/>
                <w:sz w:val="20"/>
                <w:szCs w:val="20"/>
                <w:lang w:eastAsia="pl-PL"/>
              </w:rPr>
              <w:t xml:space="preserve"> </w:t>
            </w:r>
            <w:r w:rsidR="00B21F3D">
              <w:rPr>
                <w:rFonts w:asciiTheme="minorHAnsi" w:eastAsia="Times New Roman" w:hAnsiTheme="minorHAnsi"/>
                <w:sz w:val="20"/>
                <w:szCs w:val="20"/>
                <w:lang w:eastAsia="pl-PL"/>
              </w:rPr>
              <w:t xml:space="preserve">zgodnie z definicją określoną  </w:t>
            </w:r>
            <w:r w:rsidRPr="000F4C27">
              <w:rPr>
                <w:rFonts w:asciiTheme="minorHAnsi" w:eastAsia="Times New Roman" w:hAnsiTheme="minorHAnsi"/>
                <w:sz w:val="20"/>
                <w:szCs w:val="20"/>
                <w:lang w:eastAsia="pl-PL"/>
              </w:rPr>
              <w:t xml:space="preserve">w załączniku nr 1 </w:t>
            </w:r>
            <w:r w:rsidR="00B21F3D">
              <w:rPr>
                <w:rFonts w:asciiTheme="minorHAnsi" w:eastAsia="Times New Roman" w:hAnsiTheme="minorHAnsi"/>
                <w:sz w:val="20"/>
                <w:szCs w:val="20"/>
                <w:lang w:eastAsia="pl-PL"/>
              </w:rPr>
              <w:t xml:space="preserve">do Rozporządzenia Komisji (UE) </w:t>
            </w:r>
            <w:r w:rsidRPr="000F4C27">
              <w:rPr>
                <w:rFonts w:asciiTheme="minorHAnsi" w:eastAsia="Times New Roman" w:hAnsiTheme="minorHAnsi"/>
                <w:sz w:val="20"/>
                <w:szCs w:val="20"/>
                <w:lang w:eastAsia="pl-PL"/>
              </w:rPr>
              <w:t>nr 651/2014 z dnia 17 czerwca 2014 r. uznające niektóre rodzaje pomocy za zgodne z rynkiem wewnętrznym w zastosowaniu art. 107 i 108 Traktatu (GBER);</w:t>
            </w:r>
          </w:p>
          <w:p w:rsidR="00C502FF" w:rsidRPr="000F4C27" w:rsidRDefault="00C502FF" w:rsidP="00C502FF">
            <w:pPr>
              <w:spacing w:after="0" w:line="240" w:lineRule="auto"/>
              <w:jc w:val="both"/>
              <w:rPr>
                <w:rFonts w:asciiTheme="minorHAnsi" w:eastAsia="Times New Roman" w:hAnsiTheme="minorHAnsi"/>
                <w:sz w:val="20"/>
                <w:szCs w:val="20"/>
                <w:lang w:eastAsia="pl-PL"/>
              </w:rPr>
            </w:pPr>
            <w:r w:rsidRPr="000F4C27">
              <w:rPr>
                <w:rFonts w:asciiTheme="minorHAnsi" w:eastAsia="Times New Roman" w:hAnsiTheme="minorHAnsi"/>
                <w:sz w:val="20"/>
                <w:szCs w:val="20"/>
                <w:u w:val="single"/>
                <w:lang w:eastAsia="pl-PL"/>
              </w:rPr>
              <w:t>Projekt B+R:</w:t>
            </w:r>
            <w:r w:rsidRPr="000F4C27">
              <w:rPr>
                <w:rFonts w:asciiTheme="minorHAnsi" w:eastAsia="Times New Roman" w:hAnsiTheme="minorHAnsi"/>
                <w:sz w:val="20"/>
                <w:szCs w:val="20"/>
                <w:lang w:eastAsia="pl-PL"/>
              </w:rPr>
              <w:t xml:space="preserve"> za projekt badawczo rozwojowy uznaje się projekt polegający na prowadzeniu badań przemysłowych lub prac rozwojowych zgodnie z definicjami ustawy o finansowaniu nauki i GBER.</w:t>
            </w:r>
          </w:p>
          <w:p w:rsidR="00C502FF" w:rsidRPr="000F4C27" w:rsidRDefault="00FF3C58" w:rsidP="00C502FF">
            <w:pPr>
              <w:spacing w:after="0" w:line="240" w:lineRule="auto"/>
              <w:jc w:val="both"/>
              <w:rPr>
                <w:rFonts w:asciiTheme="minorHAnsi" w:eastAsia="Times New Roman" w:hAnsiTheme="minorHAnsi"/>
                <w:sz w:val="20"/>
                <w:szCs w:val="20"/>
                <w:lang w:eastAsia="pl-PL"/>
              </w:rPr>
            </w:pPr>
            <w:r>
              <w:rPr>
                <w:rFonts w:asciiTheme="minorHAnsi" w:eastAsia="Times New Roman" w:hAnsiTheme="minorHAnsi"/>
                <w:sz w:val="20"/>
                <w:szCs w:val="20"/>
                <w:u w:val="single"/>
                <w:lang w:eastAsia="pl-PL"/>
              </w:rPr>
              <w:t>Ośrodek</w:t>
            </w:r>
            <w:r w:rsidRPr="000F4C27">
              <w:rPr>
                <w:rFonts w:asciiTheme="minorHAnsi" w:eastAsia="Times New Roman" w:hAnsiTheme="minorHAnsi"/>
                <w:sz w:val="20"/>
                <w:szCs w:val="20"/>
                <w:u w:val="single"/>
                <w:lang w:eastAsia="pl-PL"/>
              </w:rPr>
              <w:t xml:space="preserve"> </w:t>
            </w:r>
            <w:r w:rsidR="00C502FF" w:rsidRPr="000F4C27">
              <w:rPr>
                <w:rFonts w:asciiTheme="minorHAnsi" w:eastAsia="Times New Roman" w:hAnsiTheme="minorHAnsi"/>
                <w:sz w:val="20"/>
                <w:szCs w:val="20"/>
                <w:u w:val="single"/>
                <w:lang w:eastAsia="pl-PL"/>
              </w:rPr>
              <w:t>badawcz</w:t>
            </w:r>
            <w:r>
              <w:rPr>
                <w:rFonts w:asciiTheme="minorHAnsi" w:eastAsia="Times New Roman" w:hAnsiTheme="minorHAnsi"/>
                <w:sz w:val="20"/>
                <w:szCs w:val="20"/>
                <w:u w:val="single"/>
                <w:lang w:eastAsia="pl-PL"/>
              </w:rPr>
              <w:t>y</w:t>
            </w:r>
            <w:r w:rsidR="00C502FF" w:rsidRPr="000F4C27">
              <w:rPr>
                <w:rFonts w:asciiTheme="minorHAnsi" w:eastAsia="Times New Roman" w:hAnsiTheme="minorHAnsi"/>
                <w:sz w:val="20"/>
                <w:szCs w:val="20"/>
                <w:lang w:eastAsia="pl-PL"/>
              </w:rPr>
              <w:t>: zgodnie z GBER „organizacja prowadząca badania i upowszechniająca wiedzę” oznacza podmiot (jak np. uniwersytet lub instytut badawczy, agencja zajmująca się transferem technologii, pośrednik w dziedzinie innowacji, fizyczny lub wirtualny podmiot prowadzący współpracę w dziedzinie badań i rozwoju)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w:t>
            </w:r>
          </w:p>
        </w:tc>
      </w:tr>
      <w:tr w:rsidR="000E32B0" w:rsidRPr="00FB782F" w:rsidTr="00B21F3D">
        <w:trPr>
          <w:trHeight w:val="575"/>
        </w:trPr>
        <w:tc>
          <w:tcPr>
            <w:tcW w:w="251" w:type="pct"/>
            <w:shd w:val="clear" w:color="auto" w:fill="FFFFFF"/>
            <w:vAlign w:val="center"/>
          </w:tcPr>
          <w:p w:rsidR="000E32B0" w:rsidRPr="00FB782F" w:rsidRDefault="00CB02FA" w:rsidP="00356891">
            <w:pPr>
              <w:spacing w:after="0" w:line="240" w:lineRule="auto"/>
              <w:jc w:val="center"/>
              <w:rPr>
                <w:rFonts w:asciiTheme="minorHAnsi" w:hAnsiTheme="minorHAnsi"/>
                <w:sz w:val="20"/>
                <w:szCs w:val="20"/>
              </w:rPr>
            </w:pPr>
            <w:r w:rsidRPr="00FB782F">
              <w:rPr>
                <w:rFonts w:asciiTheme="minorHAnsi" w:hAnsiTheme="minorHAnsi"/>
                <w:sz w:val="20"/>
                <w:szCs w:val="20"/>
              </w:rPr>
              <w:t>2</w:t>
            </w:r>
          </w:p>
        </w:tc>
        <w:tc>
          <w:tcPr>
            <w:tcW w:w="1220" w:type="pct"/>
            <w:shd w:val="clear" w:color="auto" w:fill="FFFFFF"/>
            <w:vAlign w:val="center"/>
          </w:tcPr>
          <w:p w:rsidR="000E32B0" w:rsidRPr="00FB782F" w:rsidRDefault="000E32B0" w:rsidP="00356891">
            <w:pPr>
              <w:pStyle w:val="Nagwek3"/>
              <w:spacing w:line="240" w:lineRule="auto"/>
              <w:jc w:val="center"/>
              <w:rPr>
                <w:rFonts w:asciiTheme="minorHAnsi" w:hAnsiTheme="minorHAnsi"/>
                <w:b w:val="0"/>
                <w:color w:val="auto"/>
                <w:sz w:val="20"/>
                <w:szCs w:val="20"/>
              </w:rPr>
            </w:pPr>
            <w:bookmarkStart w:id="6" w:name="_Toc474224424"/>
            <w:r w:rsidRPr="00FB782F">
              <w:rPr>
                <w:rFonts w:asciiTheme="minorHAnsi" w:eastAsia="Times New Roman" w:hAnsiTheme="minorHAnsi"/>
                <w:b w:val="0"/>
                <w:color w:val="auto"/>
                <w:sz w:val="20"/>
                <w:szCs w:val="20"/>
                <w:lang w:eastAsia="pl-PL"/>
              </w:rPr>
              <w:t>Liczba przedsiębiorstw wspartych w zakresie prowadzenia prac B+R</w:t>
            </w:r>
            <w:bookmarkEnd w:id="6"/>
          </w:p>
          <w:p w:rsidR="000E32B0" w:rsidRPr="00FB782F" w:rsidRDefault="000E32B0" w:rsidP="00356891">
            <w:pPr>
              <w:pStyle w:val="Nagwek3"/>
              <w:spacing w:line="240" w:lineRule="auto"/>
              <w:jc w:val="center"/>
              <w:rPr>
                <w:rFonts w:asciiTheme="minorHAnsi" w:eastAsia="Times New Roman" w:hAnsiTheme="minorHAnsi"/>
                <w:b w:val="0"/>
                <w:color w:val="auto"/>
                <w:sz w:val="20"/>
                <w:szCs w:val="20"/>
                <w:lang w:eastAsia="pl-PL"/>
              </w:rPr>
            </w:pPr>
          </w:p>
        </w:tc>
        <w:tc>
          <w:tcPr>
            <w:tcW w:w="615" w:type="pct"/>
            <w:shd w:val="clear" w:color="auto" w:fill="FFFFFF"/>
            <w:vAlign w:val="center"/>
          </w:tcPr>
          <w:p w:rsidR="000E32B0" w:rsidRPr="00FB782F" w:rsidRDefault="000E32B0" w:rsidP="00356891">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0E32B0" w:rsidRPr="00FB782F" w:rsidRDefault="00E01BED" w:rsidP="00356891">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Liczba przedsiębiorstw prowadzących prace B+R w ramach wspartego projektu. Wskaźnik obejmuje przedsiębiorstwa składające wniosek oraz przedsiębiorstwa będące partnerami w ramach realizowanego projektu i mogące otrzymać wsparcie</w:t>
            </w:r>
            <w:r w:rsidR="00F5575E">
              <w:rPr>
                <w:rFonts w:asciiTheme="minorHAnsi" w:eastAsia="Times New Roman" w:hAnsiTheme="minorHAnsi"/>
                <w:sz w:val="20"/>
                <w:szCs w:val="20"/>
                <w:lang w:eastAsia="pl-PL"/>
              </w:rPr>
              <w:t>.</w:t>
            </w:r>
          </w:p>
        </w:tc>
      </w:tr>
      <w:tr w:rsidR="000E32B0" w:rsidRPr="00FB782F" w:rsidTr="00B21F3D">
        <w:trPr>
          <w:trHeight w:val="575"/>
        </w:trPr>
        <w:tc>
          <w:tcPr>
            <w:tcW w:w="251" w:type="pct"/>
            <w:shd w:val="clear" w:color="auto" w:fill="FFFFFF"/>
            <w:vAlign w:val="center"/>
          </w:tcPr>
          <w:p w:rsidR="000E32B0" w:rsidRPr="00FB782F" w:rsidRDefault="00CB02FA" w:rsidP="00356891">
            <w:pPr>
              <w:spacing w:after="0" w:line="240" w:lineRule="auto"/>
              <w:jc w:val="center"/>
              <w:rPr>
                <w:rFonts w:asciiTheme="minorHAnsi" w:hAnsiTheme="minorHAnsi"/>
                <w:sz w:val="20"/>
                <w:szCs w:val="20"/>
              </w:rPr>
            </w:pPr>
            <w:r w:rsidRPr="00FB782F">
              <w:rPr>
                <w:rFonts w:asciiTheme="minorHAnsi" w:hAnsiTheme="minorHAnsi"/>
                <w:sz w:val="20"/>
                <w:szCs w:val="20"/>
              </w:rPr>
              <w:t>3</w:t>
            </w:r>
          </w:p>
        </w:tc>
        <w:tc>
          <w:tcPr>
            <w:tcW w:w="1220" w:type="pct"/>
            <w:shd w:val="clear" w:color="auto" w:fill="FFFFFF"/>
            <w:vAlign w:val="center"/>
          </w:tcPr>
          <w:p w:rsidR="000E32B0" w:rsidRPr="00FB782F" w:rsidRDefault="000E32B0" w:rsidP="00356891">
            <w:pPr>
              <w:pStyle w:val="Nagwek3"/>
              <w:spacing w:line="240" w:lineRule="auto"/>
              <w:jc w:val="center"/>
              <w:rPr>
                <w:rFonts w:asciiTheme="minorHAnsi" w:hAnsiTheme="minorHAnsi"/>
                <w:b w:val="0"/>
                <w:color w:val="auto"/>
                <w:sz w:val="20"/>
                <w:szCs w:val="20"/>
              </w:rPr>
            </w:pPr>
            <w:bookmarkStart w:id="7" w:name="_Toc474224422"/>
            <w:r w:rsidRPr="00FB782F">
              <w:rPr>
                <w:rFonts w:asciiTheme="minorHAnsi" w:eastAsia="Times New Roman" w:hAnsiTheme="minorHAnsi"/>
                <w:b w:val="0"/>
                <w:color w:val="auto"/>
                <w:sz w:val="20"/>
                <w:szCs w:val="20"/>
                <w:lang w:eastAsia="pl-PL"/>
              </w:rPr>
              <w:t xml:space="preserve">Liczba przedsiębiorstw ponoszących </w:t>
            </w:r>
            <w:r w:rsidRPr="00FB782F">
              <w:rPr>
                <w:rFonts w:asciiTheme="minorHAnsi" w:hAnsiTheme="minorHAnsi"/>
                <w:b w:val="0"/>
                <w:color w:val="auto"/>
                <w:sz w:val="20"/>
                <w:szCs w:val="20"/>
              </w:rPr>
              <w:t>nakłady</w:t>
            </w:r>
            <w:r w:rsidRPr="00FB782F">
              <w:rPr>
                <w:rFonts w:asciiTheme="minorHAnsi" w:eastAsia="Times New Roman" w:hAnsiTheme="minorHAnsi"/>
                <w:b w:val="0"/>
                <w:color w:val="auto"/>
                <w:sz w:val="20"/>
                <w:szCs w:val="20"/>
                <w:lang w:eastAsia="pl-PL"/>
              </w:rPr>
              <w:t xml:space="preserve"> inwestycyjne na działalność B+R</w:t>
            </w:r>
            <w:bookmarkEnd w:id="7"/>
          </w:p>
          <w:p w:rsidR="000E32B0" w:rsidRPr="00FB782F" w:rsidRDefault="000E32B0" w:rsidP="00356891">
            <w:pPr>
              <w:pStyle w:val="Nagwek3"/>
              <w:spacing w:line="240" w:lineRule="auto"/>
              <w:jc w:val="center"/>
              <w:rPr>
                <w:rFonts w:asciiTheme="minorHAnsi" w:eastAsia="Times New Roman" w:hAnsiTheme="minorHAnsi"/>
                <w:b w:val="0"/>
                <w:color w:val="auto"/>
                <w:sz w:val="20"/>
                <w:szCs w:val="20"/>
                <w:lang w:eastAsia="pl-PL"/>
              </w:rPr>
            </w:pPr>
          </w:p>
        </w:tc>
        <w:tc>
          <w:tcPr>
            <w:tcW w:w="615" w:type="pct"/>
            <w:shd w:val="clear" w:color="auto" w:fill="FFFFFF"/>
            <w:vAlign w:val="center"/>
          </w:tcPr>
          <w:p w:rsidR="000E32B0" w:rsidRPr="00FB782F" w:rsidRDefault="000E32B0" w:rsidP="00356891">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0E32B0" w:rsidRPr="00FB782F" w:rsidRDefault="000E32B0" w:rsidP="00356891">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 xml:space="preserve">Liczba przedsiębiorstw uczestniczących w realizacji projektu w zakresie prowadzenia działalności B+R, obejmującego nakłady inwestycyjne na działalność B+R (zgodnie z katalogiem kosztów kwalifikowanych). </w:t>
            </w:r>
            <w:r w:rsidRPr="00FB782F">
              <w:rPr>
                <w:rFonts w:asciiTheme="minorHAnsi" w:eastAsia="Times New Roman" w:hAnsiTheme="minorHAnsi"/>
                <w:sz w:val="20"/>
                <w:szCs w:val="20"/>
                <w:lang w:eastAsia="pl-PL"/>
              </w:rPr>
              <w:br/>
              <w:t>Wsparcie infrastruktury badawczej może obejmować budowę, rozbudowę, przebudowę lub doposażenie przez zakup aparatury naukowo-badawczej.</w:t>
            </w:r>
          </w:p>
        </w:tc>
      </w:tr>
      <w:tr w:rsidR="000E32B0" w:rsidRPr="00FB782F" w:rsidTr="00B21F3D">
        <w:trPr>
          <w:cantSplit/>
          <w:trHeight w:val="1134"/>
        </w:trPr>
        <w:tc>
          <w:tcPr>
            <w:tcW w:w="251" w:type="pct"/>
            <w:shd w:val="clear" w:color="auto" w:fill="FFFFFF"/>
            <w:vAlign w:val="center"/>
          </w:tcPr>
          <w:p w:rsidR="000E32B0" w:rsidRPr="00FB782F" w:rsidRDefault="00CB02FA" w:rsidP="00356891">
            <w:pPr>
              <w:spacing w:after="0" w:line="240" w:lineRule="auto"/>
              <w:jc w:val="center"/>
              <w:rPr>
                <w:rFonts w:asciiTheme="minorHAnsi" w:hAnsiTheme="minorHAnsi"/>
                <w:sz w:val="20"/>
                <w:szCs w:val="20"/>
              </w:rPr>
            </w:pPr>
            <w:r w:rsidRPr="00FB782F">
              <w:rPr>
                <w:rFonts w:asciiTheme="minorHAnsi" w:hAnsiTheme="minorHAnsi"/>
                <w:sz w:val="20"/>
                <w:szCs w:val="20"/>
              </w:rPr>
              <w:lastRenderedPageBreak/>
              <w:t>4</w:t>
            </w:r>
          </w:p>
        </w:tc>
        <w:tc>
          <w:tcPr>
            <w:tcW w:w="1220" w:type="pct"/>
            <w:shd w:val="clear" w:color="auto" w:fill="FFFFFF"/>
            <w:vAlign w:val="center"/>
          </w:tcPr>
          <w:p w:rsidR="000E32B0" w:rsidRPr="00FB782F" w:rsidRDefault="000E32B0" w:rsidP="00356891">
            <w:pPr>
              <w:pStyle w:val="Nagwek3"/>
              <w:spacing w:line="240" w:lineRule="auto"/>
              <w:jc w:val="center"/>
              <w:rPr>
                <w:rFonts w:asciiTheme="minorHAnsi" w:hAnsiTheme="minorHAnsi"/>
                <w:b w:val="0"/>
                <w:color w:val="auto"/>
                <w:sz w:val="20"/>
                <w:szCs w:val="20"/>
              </w:rPr>
            </w:pPr>
            <w:bookmarkStart w:id="8" w:name="_Toc474224421"/>
            <w:r w:rsidRPr="00FB782F">
              <w:rPr>
                <w:rFonts w:asciiTheme="minorHAnsi" w:eastAsia="Times New Roman" w:hAnsiTheme="minorHAnsi"/>
                <w:b w:val="0"/>
                <w:color w:val="auto"/>
                <w:sz w:val="20"/>
                <w:szCs w:val="20"/>
                <w:lang w:eastAsia="pl-PL"/>
              </w:rPr>
              <w:t>Liczba przedsiębiorstw otrzymujących wsparcie (CI1)</w:t>
            </w:r>
            <w:bookmarkEnd w:id="8"/>
          </w:p>
          <w:p w:rsidR="000E32B0" w:rsidRPr="00FB782F" w:rsidRDefault="000E32B0" w:rsidP="00356891">
            <w:pPr>
              <w:pStyle w:val="Nagwek3"/>
              <w:spacing w:line="240" w:lineRule="auto"/>
              <w:jc w:val="center"/>
              <w:rPr>
                <w:rFonts w:asciiTheme="minorHAnsi" w:eastAsia="Times New Roman" w:hAnsiTheme="minorHAnsi"/>
                <w:b w:val="0"/>
                <w:color w:val="auto"/>
                <w:sz w:val="20"/>
                <w:szCs w:val="20"/>
                <w:lang w:eastAsia="pl-PL"/>
              </w:rPr>
            </w:pPr>
          </w:p>
        </w:tc>
        <w:tc>
          <w:tcPr>
            <w:tcW w:w="615" w:type="pct"/>
            <w:shd w:val="clear" w:color="auto" w:fill="FFFFFF"/>
            <w:textDirection w:val="btLr"/>
            <w:vAlign w:val="center"/>
          </w:tcPr>
          <w:p w:rsidR="000E32B0" w:rsidRPr="00FB782F" w:rsidRDefault="00873B89" w:rsidP="00873B89">
            <w:pPr>
              <w:spacing w:after="0" w:line="240" w:lineRule="auto"/>
              <w:ind w:left="113" w:right="113"/>
              <w:jc w:val="center"/>
              <w:rPr>
                <w:rFonts w:asciiTheme="minorHAnsi" w:hAnsiTheme="minorHAnsi" w:cs="Arial"/>
                <w:sz w:val="20"/>
                <w:szCs w:val="20"/>
              </w:rPr>
            </w:pPr>
            <w:r>
              <w:rPr>
                <w:rFonts w:asciiTheme="minorHAnsi" w:hAnsiTheme="minorHAnsi" w:cs="Arial"/>
                <w:sz w:val="20"/>
                <w:szCs w:val="20"/>
              </w:rPr>
              <w:t>przedsiębiorstwa</w:t>
            </w:r>
          </w:p>
        </w:tc>
        <w:tc>
          <w:tcPr>
            <w:tcW w:w="2914" w:type="pct"/>
            <w:shd w:val="clear" w:color="auto" w:fill="FFFFFF"/>
            <w:vAlign w:val="center"/>
          </w:tcPr>
          <w:p w:rsidR="00B21F3D" w:rsidRDefault="000E32B0" w:rsidP="00B21F3D">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Liczba przedsiębiorstw otrzymujących wsparcie w dowolnej formie z funduszy strukturalnych.</w:t>
            </w:r>
          </w:p>
          <w:p w:rsidR="000E32B0" w:rsidRPr="00FB782F" w:rsidRDefault="00E01BED" w:rsidP="00B21F3D">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u w:val="single"/>
                <w:lang w:eastAsia="pl-PL"/>
              </w:rPr>
              <w:t>Przedsiębiorstwo:</w:t>
            </w:r>
            <w:r w:rsidRPr="00FB782F">
              <w:rPr>
                <w:rFonts w:asciiTheme="minorHAnsi" w:eastAsia="Times New Roman" w:hAnsiTheme="minorHAnsi"/>
                <w:sz w:val="20"/>
                <w:szCs w:val="20"/>
                <w:lang w:eastAsia="pl-PL"/>
              </w:rPr>
              <w:t xml:space="preserve"> </w:t>
            </w:r>
            <w:r w:rsidR="00B21F3D">
              <w:rPr>
                <w:rFonts w:asciiTheme="minorHAnsi" w:eastAsia="Times New Roman" w:hAnsiTheme="minorHAnsi"/>
                <w:sz w:val="20"/>
                <w:szCs w:val="20"/>
                <w:lang w:eastAsia="pl-PL"/>
              </w:rPr>
              <w:t xml:space="preserve">zgodnie z definicją określoną  </w:t>
            </w:r>
            <w:r w:rsidRPr="00FB782F">
              <w:rPr>
                <w:rFonts w:asciiTheme="minorHAnsi" w:eastAsia="Times New Roman" w:hAnsiTheme="minorHAnsi"/>
                <w:sz w:val="20"/>
                <w:szCs w:val="20"/>
                <w:lang w:eastAsia="pl-PL"/>
              </w:rPr>
              <w:t xml:space="preserve">w załączniku nr 1 do Rozporządzenia Komisji (UE) </w:t>
            </w:r>
            <w:r w:rsidRPr="00FB782F">
              <w:rPr>
                <w:rFonts w:asciiTheme="minorHAnsi" w:eastAsia="Times New Roman" w:hAnsiTheme="minorHAnsi"/>
                <w:sz w:val="20"/>
                <w:szCs w:val="20"/>
                <w:lang w:eastAsia="pl-PL"/>
              </w:rPr>
              <w:br/>
              <w:t>nr 651/2014 z dnia 17 czerwca 2014 r. uznające niektóre rodzaje pomocy za zgodne z rynkiem wewnętrznym w zastosowaniu art. 107 i 108 Traktatu (GBER)</w:t>
            </w:r>
          </w:p>
        </w:tc>
      </w:tr>
      <w:tr w:rsidR="000E32B0" w:rsidRPr="00FB782F" w:rsidTr="00B21F3D">
        <w:trPr>
          <w:trHeight w:val="575"/>
        </w:trPr>
        <w:tc>
          <w:tcPr>
            <w:tcW w:w="251" w:type="pct"/>
            <w:shd w:val="clear" w:color="auto" w:fill="FFFFFF"/>
            <w:vAlign w:val="center"/>
          </w:tcPr>
          <w:p w:rsidR="000E32B0" w:rsidRPr="00FB782F" w:rsidRDefault="00CB02FA" w:rsidP="00356891">
            <w:pPr>
              <w:spacing w:after="0" w:line="240" w:lineRule="auto"/>
              <w:jc w:val="center"/>
              <w:rPr>
                <w:rFonts w:asciiTheme="minorHAnsi" w:hAnsiTheme="minorHAnsi"/>
                <w:sz w:val="20"/>
                <w:szCs w:val="20"/>
              </w:rPr>
            </w:pPr>
            <w:r w:rsidRPr="00FB782F">
              <w:rPr>
                <w:rFonts w:asciiTheme="minorHAnsi" w:hAnsiTheme="minorHAnsi"/>
                <w:sz w:val="20"/>
                <w:szCs w:val="20"/>
              </w:rPr>
              <w:t>5</w:t>
            </w:r>
          </w:p>
        </w:tc>
        <w:tc>
          <w:tcPr>
            <w:tcW w:w="1220" w:type="pct"/>
            <w:shd w:val="clear" w:color="auto" w:fill="FFFFFF"/>
            <w:vAlign w:val="center"/>
          </w:tcPr>
          <w:p w:rsidR="000E32B0" w:rsidRPr="00FB782F" w:rsidRDefault="000E32B0" w:rsidP="00356891">
            <w:pPr>
              <w:pStyle w:val="Nagwek3"/>
              <w:spacing w:line="240" w:lineRule="auto"/>
              <w:jc w:val="center"/>
              <w:rPr>
                <w:rFonts w:asciiTheme="minorHAnsi" w:eastAsia="Times New Roman" w:hAnsiTheme="minorHAnsi"/>
                <w:b w:val="0"/>
                <w:color w:val="auto"/>
                <w:sz w:val="20"/>
                <w:szCs w:val="20"/>
                <w:lang w:eastAsia="pl-PL"/>
              </w:rPr>
            </w:pPr>
            <w:bookmarkStart w:id="9" w:name="_Toc474224427"/>
            <w:r w:rsidRPr="00FB782F">
              <w:rPr>
                <w:rFonts w:asciiTheme="minorHAnsi" w:eastAsia="Times New Roman" w:hAnsiTheme="minorHAnsi"/>
                <w:b w:val="0"/>
                <w:color w:val="auto"/>
                <w:sz w:val="20"/>
                <w:szCs w:val="20"/>
                <w:lang w:eastAsia="pl-PL"/>
              </w:rPr>
              <w:t>Liczba wspartych laboratoriów badawczych</w:t>
            </w:r>
            <w:bookmarkEnd w:id="9"/>
          </w:p>
          <w:p w:rsidR="000E32B0" w:rsidRPr="00FB782F" w:rsidRDefault="000E32B0" w:rsidP="00356891">
            <w:pPr>
              <w:pStyle w:val="Nagwek3"/>
              <w:spacing w:line="240" w:lineRule="auto"/>
              <w:jc w:val="center"/>
              <w:rPr>
                <w:rFonts w:asciiTheme="minorHAnsi" w:eastAsia="Times New Roman" w:hAnsiTheme="minorHAnsi"/>
                <w:b w:val="0"/>
                <w:color w:val="auto"/>
                <w:sz w:val="20"/>
                <w:szCs w:val="20"/>
                <w:lang w:eastAsia="pl-PL"/>
              </w:rPr>
            </w:pPr>
          </w:p>
        </w:tc>
        <w:tc>
          <w:tcPr>
            <w:tcW w:w="615" w:type="pct"/>
            <w:shd w:val="clear" w:color="auto" w:fill="FFFFFF"/>
            <w:vAlign w:val="center"/>
          </w:tcPr>
          <w:p w:rsidR="000E32B0" w:rsidRPr="00FB782F" w:rsidRDefault="000E32B0" w:rsidP="00356891">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0E32B0" w:rsidRPr="00FB782F" w:rsidRDefault="000E32B0" w:rsidP="004401AD">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 xml:space="preserve">Liczba laboratoriów badawczych wybudowanych (utworzonych), rozbudowanych, przebudowanych lub doposażonych w aparaturę naukowo-badawczą w wyniku udzielonego wsparcia </w:t>
            </w:r>
            <w:r w:rsidR="00F5575E">
              <w:rPr>
                <w:rFonts w:asciiTheme="minorHAnsi" w:eastAsia="Times New Roman" w:hAnsiTheme="minorHAnsi"/>
                <w:sz w:val="20"/>
                <w:szCs w:val="20"/>
                <w:lang w:eastAsia="pl-PL"/>
              </w:rPr>
              <w:br/>
            </w:r>
            <w:r w:rsidRPr="00FB782F">
              <w:rPr>
                <w:rFonts w:asciiTheme="minorHAnsi" w:eastAsia="Times New Roman" w:hAnsiTheme="minorHAnsi"/>
                <w:sz w:val="20"/>
                <w:szCs w:val="20"/>
                <w:lang w:eastAsia="pl-PL"/>
              </w:rPr>
              <w:t>i przygotowanych do prowadzenia prac B+R. Laboratorium może być umiejscowione w jednostce naukowej, przedsiębiorstwie, instytucji otoczenia biznesu (np. park technologiczny). Przez laboratorium należy rozumieć technicznie i organizacyjnie wydzielone pomieszczenie wyposażone w niezbędną aparaturę naukowo-badawczą.</w:t>
            </w:r>
          </w:p>
        </w:tc>
      </w:tr>
      <w:tr w:rsidR="000E32B0" w:rsidRPr="00FB782F" w:rsidTr="00B21F3D">
        <w:trPr>
          <w:trHeight w:val="575"/>
        </w:trPr>
        <w:tc>
          <w:tcPr>
            <w:tcW w:w="251" w:type="pct"/>
            <w:shd w:val="clear" w:color="auto" w:fill="FFFFFF"/>
            <w:vAlign w:val="center"/>
          </w:tcPr>
          <w:p w:rsidR="000E32B0" w:rsidRPr="00FB782F" w:rsidRDefault="00CB02FA" w:rsidP="00356891">
            <w:pPr>
              <w:spacing w:after="0" w:line="240" w:lineRule="auto"/>
              <w:jc w:val="center"/>
              <w:rPr>
                <w:rFonts w:asciiTheme="minorHAnsi" w:hAnsiTheme="minorHAnsi"/>
                <w:sz w:val="20"/>
                <w:szCs w:val="20"/>
              </w:rPr>
            </w:pPr>
            <w:r w:rsidRPr="00FB782F">
              <w:rPr>
                <w:rFonts w:asciiTheme="minorHAnsi" w:hAnsiTheme="minorHAnsi"/>
                <w:sz w:val="20"/>
                <w:szCs w:val="20"/>
              </w:rPr>
              <w:t>6</w:t>
            </w:r>
          </w:p>
        </w:tc>
        <w:tc>
          <w:tcPr>
            <w:tcW w:w="1220" w:type="pct"/>
            <w:shd w:val="clear" w:color="auto" w:fill="FFFFFF"/>
            <w:vAlign w:val="center"/>
          </w:tcPr>
          <w:p w:rsidR="000E32B0" w:rsidRPr="00FB782F" w:rsidRDefault="000E32B0" w:rsidP="00356891">
            <w:pPr>
              <w:pStyle w:val="Nagwek3"/>
              <w:spacing w:line="240" w:lineRule="auto"/>
              <w:jc w:val="center"/>
              <w:rPr>
                <w:rFonts w:asciiTheme="minorHAnsi" w:eastAsia="Times New Roman" w:hAnsiTheme="minorHAnsi"/>
                <w:b w:val="0"/>
                <w:color w:val="auto"/>
                <w:sz w:val="20"/>
                <w:szCs w:val="20"/>
                <w:lang w:eastAsia="pl-PL"/>
              </w:rPr>
            </w:pPr>
            <w:bookmarkStart w:id="10" w:name="_Toc474224428"/>
            <w:r w:rsidRPr="00FB782F">
              <w:rPr>
                <w:rFonts w:asciiTheme="minorHAnsi" w:eastAsia="Times New Roman" w:hAnsiTheme="minorHAnsi"/>
                <w:b w:val="0"/>
                <w:color w:val="auto"/>
                <w:sz w:val="20"/>
                <w:szCs w:val="20"/>
                <w:lang w:eastAsia="pl-PL"/>
              </w:rPr>
              <w:t>Nakłady inwestycyjne na zakup aparatury naukowo-badawczej</w:t>
            </w:r>
            <w:bookmarkEnd w:id="10"/>
          </w:p>
          <w:p w:rsidR="000E32B0" w:rsidRPr="00FB782F" w:rsidRDefault="000E32B0" w:rsidP="00356891">
            <w:pPr>
              <w:pStyle w:val="Nagwek3"/>
              <w:spacing w:line="240" w:lineRule="auto"/>
              <w:jc w:val="center"/>
              <w:rPr>
                <w:rFonts w:asciiTheme="minorHAnsi" w:eastAsia="Times New Roman" w:hAnsiTheme="minorHAnsi"/>
                <w:b w:val="0"/>
                <w:color w:val="auto"/>
                <w:sz w:val="20"/>
                <w:szCs w:val="20"/>
                <w:lang w:eastAsia="pl-PL"/>
              </w:rPr>
            </w:pPr>
          </w:p>
        </w:tc>
        <w:tc>
          <w:tcPr>
            <w:tcW w:w="615" w:type="pct"/>
            <w:shd w:val="clear" w:color="auto" w:fill="FFFFFF"/>
            <w:vAlign w:val="center"/>
          </w:tcPr>
          <w:p w:rsidR="000E32B0" w:rsidRPr="00FB782F" w:rsidRDefault="00873B89" w:rsidP="00356891">
            <w:pPr>
              <w:spacing w:after="0" w:line="240" w:lineRule="auto"/>
              <w:jc w:val="center"/>
              <w:rPr>
                <w:rFonts w:asciiTheme="minorHAnsi" w:hAnsiTheme="minorHAnsi" w:cs="Arial"/>
                <w:sz w:val="20"/>
                <w:szCs w:val="20"/>
              </w:rPr>
            </w:pPr>
            <w:r>
              <w:rPr>
                <w:rFonts w:asciiTheme="minorHAnsi" w:hAnsiTheme="minorHAnsi" w:cs="Arial"/>
                <w:sz w:val="20"/>
                <w:szCs w:val="20"/>
              </w:rPr>
              <w:t>zł</w:t>
            </w:r>
            <w:r w:rsidR="000E32B0" w:rsidRPr="00FB782F">
              <w:rPr>
                <w:rFonts w:asciiTheme="minorHAnsi" w:hAnsiTheme="minorHAnsi" w:cs="Arial"/>
                <w:sz w:val="20"/>
                <w:szCs w:val="20"/>
              </w:rPr>
              <w:t>.</w:t>
            </w:r>
          </w:p>
        </w:tc>
        <w:tc>
          <w:tcPr>
            <w:tcW w:w="2914" w:type="pct"/>
            <w:shd w:val="clear" w:color="auto" w:fill="FFFFFF"/>
            <w:vAlign w:val="center"/>
          </w:tcPr>
          <w:p w:rsidR="000E32B0" w:rsidRPr="00FB782F" w:rsidRDefault="000E32B0" w:rsidP="00356891">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 xml:space="preserve">Nakłady poniesione przez beneficjenta na zakup aparatury naukowo-badawczej w związku </w:t>
            </w:r>
            <w:r w:rsidR="00F5575E">
              <w:rPr>
                <w:rFonts w:asciiTheme="minorHAnsi" w:eastAsia="Times New Roman" w:hAnsiTheme="minorHAnsi"/>
                <w:sz w:val="20"/>
                <w:szCs w:val="20"/>
                <w:lang w:eastAsia="pl-PL"/>
              </w:rPr>
              <w:br/>
            </w:r>
            <w:r w:rsidRPr="00FB782F">
              <w:rPr>
                <w:rFonts w:asciiTheme="minorHAnsi" w:eastAsia="Times New Roman" w:hAnsiTheme="minorHAnsi"/>
                <w:sz w:val="20"/>
                <w:szCs w:val="20"/>
                <w:lang w:eastAsia="pl-PL"/>
              </w:rPr>
              <w:t>z realizowanym projektem. Nakłady obejmują dofinansowanie i wkład własny.</w:t>
            </w:r>
            <w:r w:rsidRPr="00FB782F">
              <w:rPr>
                <w:rFonts w:asciiTheme="minorHAnsi" w:eastAsia="Times New Roman" w:hAnsiTheme="minorHAnsi"/>
                <w:sz w:val="20"/>
                <w:szCs w:val="20"/>
                <w:lang w:eastAsia="pl-PL"/>
              </w:rPr>
              <w:br/>
            </w:r>
            <w:r w:rsidRPr="00FB782F">
              <w:rPr>
                <w:rFonts w:asciiTheme="minorHAnsi" w:eastAsia="Times New Roman" w:hAnsiTheme="minorHAnsi"/>
                <w:sz w:val="20"/>
                <w:szCs w:val="20"/>
                <w:u w:val="single"/>
                <w:lang w:eastAsia="pl-PL"/>
              </w:rPr>
              <w:t>(GUS): Aparatura naukowo-badawcza</w:t>
            </w:r>
            <w:r w:rsidRPr="00FB782F">
              <w:rPr>
                <w:rFonts w:asciiTheme="minorHAnsi" w:eastAsia="Times New Roman" w:hAnsiTheme="minorHAnsi"/>
                <w:sz w:val="20"/>
                <w:szCs w:val="20"/>
                <w:lang w:eastAsia="pl-PL"/>
              </w:rPr>
              <w:t>: Zestawy urządzeń badawczych, pomiarowych lub laboratoryjnych o małym stopniu uniwersalności i wysokich parametrach technicznych (zazwyczaj wyższych o kilka rzędów dokładności pomiaru w stosunku do typowej aparatury stosowanej dla celów produkcyjnych lub eksploatacyjnych). Do aparatury naukowo-badawczej nie zalicza się sprzętu komputerowego i innych urządzeń niewykorzystywanych bezpośrednio do realizacji prac B+R.</w:t>
            </w:r>
          </w:p>
        </w:tc>
      </w:tr>
      <w:tr w:rsidR="000E32B0" w:rsidRPr="00FB782F" w:rsidTr="00B21F3D">
        <w:trPr>
          <w:cantSplit/>
          <w:trHeight w:val="1134"/>
        </w:trPr>
        <w:tc>
          <w:tcPr>
            <w:tcW w:w="251" w:type="pct"/>
            <w:shd w:val="clear" w:color="auto" w:fill="FFFFFF"/>
            <w:vAlign w:val="center"/>
          </w:tcPr>
          <w:p w:rsidR="000E32B0" w:rsidRPr="00FB782F" w:rsidRDefault="00FB782F" w:rsidP="00356891">
            <w:pPr>
              <w:spacing w:after="0" w:line="240" w:lineRule="auto"/>
              <w:jc w:val="center"/>
              <w:rPr>
                <w:rFonts w:asciiTheme="minorHAnsi" w:hAnsiTheme="minorHAnsi"/>
                <w:sz w:val="20"/>
                <w:szCs w:val="20"/>
              </w:rPr>
            </w:pPr>
            <w:r>
              <w:rPr>
                <w:rFonts w:asciiTheme="minorHAnsi" w:hAnsiTheme="minorHAnsi"/>
                <w:sz w:val="20"/>
                <w:szCs w:val="20"/>
              </w:rPr>
              <w:t>7</w:t>
            </w:r>
          </w:p>
        </w:tc>
        <w:tc>
          <w:tcPr>
            <w:tcW w:w="1220" w:type="pct"/>
            <w:shd w:val="clear" w:color="auto" w:fill="FFFFFF"/>
            <w:vAlign w:val="center"/>
          </w:tcPr>
          <w:p w:rsidR="000E32B0" w:rsidRPr="00FB782F" w:rsidRDefault="000E32B0" w:rsidP="00356891">
            <w:pPr>
              <w:pStyle w:val="Nagwek3"/>
              <w:spacing w:line="240" w:lineRule="auto"/>
              <w:jc w:val="center"/>
              <w:rPr>
                <w:rFonts w:asciiTheme="minorHAnsi" w:hAnsiTheme="minorHAnsi"/>
                <w:b w:val="0"/>
                <w:color w:val="auto"/>
                <w:sz w:val="20"/>
                <w:szCs w:val="20"/>
              </w:rPr>
            </w:pPr>
            <w:bookmarkStart w:id="11" w:name="_Toc474224420"/>
            <w:r w:rsidRPr="00FB782F">
              <w:rPr>
                <w:rFonts w:asciiTheme="minorHAnsi" w:eastAsia="Times New Roman" w:hAnsiTheme="minorHAnsi"/>
                <w:b w:val="0"/>
                <w:color w:val="auto"/>
                <w:sz w:val="20"/>
                <w:szCs w:val="20"/>
                <w:lang w:eastAsia="pl-PL"/>
              </w:rPr>
              <w:t>Liczba przedsiębiorstw otrzymujących dotacje (CI2)</w:t>
            </w:r>
            <w:bookmarkEnd w:id="11"/>
          </w:p>
          <w:p w:rsidR="000E32B0" w:rsidRPr="00FB782F" w:rsidRDefault="000E32B0" w:rsidP="00356891">
            <w:pPr>
              <w:pStyle w:val="Nagwek3"/>
              <w:spacing w:line="240" w:lineRule="auto"/>
              <w:jc w:val="center"/>
              <w:rPr>
                <w:rFonts w:asciiTheme="minorHAnsi" w:eastAsia="Times New Roman" w:hAnsiTheme="minorHAnsi"/>
                <w:b w:val="0"/>
                <w:color w:val="auto"/>
                <w:sz w:val="20"/>
                <w:szCs w:val="20"/>
                <w:lang w:eastAsia="pl-PL"/>
              </w:rPr>
            </w:pPr>
          </w:p>
        </w:tc>
        <w:tc>
          <w:tcPr>
            <w:tcW w:w="615" w:type="pct"/>
            <w:shd w:val="clear" w:color="auto" w:fill="FFFFFF"/>
            <w:textDirection w:val="btLr"/>
            <w:vAlign w:val="center"/>
          </w:tcPr>
          <w:p w:rsidR="000E32B0" w:rsidRPr="00FB782F" w:rsidRDefault="00873B89" w:rsidP="00873B89">
            <w:pPr>
              <w:spacing w:after="0" w:line="240" w:lineRule="auto"/>
              <w:ind w:left="113" w:right="113"/>
              <w:jc w:val="center"/>
              <w:rPr>
                <w:rFonts w:asciiTheme="minorHAnsi" w:hAnsiTheme="minorHAnsi" w:cs="Arial"/>
                <w:sz w:val="20"/>
                <w:szCs w:val="20"/>
              </w:rPr>
            </w:pPr>
            <w:r>
              <w:rPr>
                <w:rFonts w:asciiTheme="minorHAnsi" w:hAnsiTheme="minorHAnsi" w:cs="Arial"/>
                <w:sz w:val="20"/>
                <w:szCs w:val="20"/>
              </w:rPr>
              <w:t>przedsiębiorstwa</w:t>
            </w:r>
          </w:p>
        </w:tc>
        <w:tc>
          <w:tcPr>
            <w:tcW w:w="2914" w:type="pct"/>
            <w:shd w:val="clear" w:color="auto" w:fill="FFFFFF"/>
            <w:vAlign w:val="center"/>
          </w:tcPr>
          <w:p w:rsidR="00B21F3D" w:rsidRDefault="000E32B0" w:rsidP="00B21F3D">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Liczba przedsiębiorstw otrzymujących wsparcie w postaci bezzwrotnego bezpośredniego wsparcia finansowego </w:t>
            </w:r>
            <w:r w:rsidR="00B21F3D">
              <w:rPr>
                <w:rFonts w:asciiTheme="minorHAnsi" w:eastAsia="Times New Roman" w:hAnsiTheme="minorHAnsi"/>
                <w:sz w:val="20"/>
                <w:szCs w:val="20"/>
                <w:lang w:eastAsia="pl-PL"/>
              </w:rPr>
              <w:t>u</w:t>
            </w:r>
            <w:r w:rsidRPr="00FB782F">
              <w:rPr>
                <w:rFonts w:asciiTheme="minorHAnsi" w:eastAsia="Times New Roman" w:hAnsiTheme="minorHAnsi"/>
                <w:sz w:val="20"/>
                <w:szCs w:val="20"/>
                <w:lang w:eastAsia="pl-PL"/>
              </w:rPr>
              <w:t>warunkow</w:t>
            </w:r>
            <w:r w:rsidR="00B21F3D">
              <w:rPr>
                <w:rFonts w:asciiTheme="minorHAnsi" w:eastAsia="Times New Roman" w:hAnsiTheme="minorHAnsi"/>
                <w:sz w:val="20"/>
                <w:szCs w:val="20"/>
                <w:lang w:eastAsia="pl-PL"/>
              </w:rPr>
              <w:t>an</w:t>
            </w:r>
            <w:r w:rsidRPr="00FB782F">
              <w:rPr>
                <w:rFonts w:asciiTheme="minorHAnsi" w:eastAsia="Times New Roman" w:hAnsiTheme="minorHAnsi"/>
                <w:sz w:val="20"/>
                <w:szCs w:val="20"/>
                <w:lang w:eastAsia="pl-PL"/>
              </w:rPr>
              <w:t>ego tylko zakończeniem projektu (dotacje).</w:t>
            </w:r>
          </w:p>
          <w:p w:rsidR="000E32B0" w:rsidRPr="00FB782F" w:rsidRDefault="00E01BED" w:rsidP="00B21F3D">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u w:val="single"/>
                <w:lang w:eastAsia="pl-PL"/>
              </w:rPr>
              <w:t>Przedsiębiorstwo:</w:t>
            </w:r>
            <w:r w:rsidRPr="00FB782F">
              <w:rPr>
                <w:rFonts w:asciiTheme="minorHAnsi" w:eastAsia="Times New Roman" w:hAnsiTheme="minorHAnsi"/>
                <w:sz w:val="20"/>
                <w:szCs w:val="20"/>
                <w:lang w:eastAsia="pl-PL"/>
              </w:rPr>
              <w:t xml:space="preserve"> </w:t>
            </w:r>
            <w:r w:rsidR="00B21F3D">
              <w:rPr>
                <w:rFonts w:asciiTheme="minorHAnsi" w:eastAsia="Times New Roman" w:hAnsiTheme="minorHAnsi"/>
                <w:sz w:val="20"/>
                <w:szCs w:val="20"/>
                <w:lang w:eastAsia="pl-PL"/>
              </w:rPr>
              <w:t xml:space="preserve">zgodnie z definicją określoną  </w:t>
            </w:r>
            <w:r w:rsidRPr="00FB782F">
              <w:rPr>
                <w:rFonts w:asciiTheme="minorHAnsi" w:eastAsia="Times New Roman" w:hAnsiTheme="minorHAnsi"/>
                <w:sz w:val="20"/>
                <w:szCs w:val="20"/>
                <w:lang w:eastAsia="pl-PL"/>
              </w:rPr>
              <w:t xml:space="preserve">w załączniku nr 1 do Rozporządzenia Komisji (UE) </w:t>
            </w:r>
            <w:r w:rsidRPr="00FB782F">
              <w:rPr>
                <w:rFonts w:asciiTheme="minorHAnsi" w:eastAsia="Times New Roman" w:hAnsiTheme="minorHAnsi"/>
                <w:sz w:val="20"/>
                <w:szCs w:val="20"/>
                <w:lang w:eastAsia="pl-PL"/>
              </w:rPr>
              <w:br/>
              <w:t>nr 651/2014 z dnia 17 czerwca 2014 r. uznające niektóre rodzaje pomocy za zgodne z rynkiem wewnętrznym w zastosowaniu art. 107 i 108 Traktatu (GBER</w:t>
            </w:r>
            <w:r w:rsidR="002140B0" w:rsidRPr="00FB782F">
              <w:rPr>
                <w:rFonts w:asciiTheme="minorHAnsi" w:eastAsia="Times New Roman" w:hAnsiTheme="minorHAnsi"/>
                <w:sz w:val="20"/>
                <w:szCs w:val="20"/>
                <w:lang w:eastAsia="pl-PL"/>
              </w:rPr>
              <w:t>)</w:t>
            </w:r>
          </w:p>
        </w:tc>
      </w:tr>
      <w:tr w:rsidR="00C502FF" w:rsidRPr="00FB782F" w:rsidTr="00B21F3D">
        <w:trPr>
          <w:trHeight w:val="575"/>
        </w:trPr>
        <w:tc>
          <w:tcPr>
            <w:tcW w:w="251" w:type="pct"/>
            <w:shd w:val="clear" w:color="auto" w:fill="FFFFFF"/>
            <w:vAlign w:val="center"/>
          </w:tcPr>
          <w:p w:rsidR="00C502FF" w:rsidRDefault="00C502FF" w:rsidP="00356891">
            <w:pPr>
              <w:spacing w:after="0" w:line="240" w:lineRule="auto"/>
              <w:jc w:val="center"/>
              <w:rPr>
                <w:rFonts w:asciiTheme="minorHAnsi" w:hAnsiTheme="minorHAnsi"/>
                <w:sz w:val="20"/>
                <w:szCs w:val="20"/>
              </w:rPr>
            </w:pPr>
            <w:r>
              <w:rPr>
                <w:rFonts w:asciiTheme="minorHAnsi" w:hAnsiTheme="minorHAnsi"/>
                <w:sz w:val="20"/>
                <w:szCs w:val="20"/>
              </w:rPr>
              <w:t>8</w:t>
            </w:r>
          </w:p>
        </w:tc>
        <w:tc>
          <w:tcPr>
            <w:tcW w:w="1220" w:type="pct"/>
            <w:shd w:val="clear" w:color="auto" w:fill="FFFFFF"/>
            <w:vAlign w:val="center"/>
          </w:tcPr>
          <w:p w:rsidR="00C502FF" w:rsidRPr="00FB782F" w:rsidRDefault="00C502FF" w:rsidP="00C502FF">
            <w:pPr>
              <w:pStyle w:val="Nagwek3"/>
              <w:spacing w:line="240" w:lineRule="auto"/>
              <w:jc w:val="center"/>
              <w:rPr>
                <w:rFonts w:asciiTheme="minorHAnsi" w:hAnsiTheme="minorHAnsi"/>
                <w:b w:val="0"/>
                <w:color w:val="auto"/>
                <w:sz w:val="20"/>
                <w:szCs w:val="20"/>
              </w:rPr>
            </w:pPr>
            <w:r>
              <w:rPr>
                <w:rFonts w:asciiTheme="minorHAnsi" w:hAnsiTheme="minorHAnsi"/>
                <w:b w:val="0"/>
                <w:color w:val="auto"/>
                <w:sz w:val="20"/>
                <w:szCs w:val="20"/>
              </w:rPr>
              <w:t>Liczba realizowanych prac B+R</w:t>
            </w:r>
          </w:p>
        </w:tc>
        <w:tc>
          <w:tcPr>
            <w:tcW w:w="615" w:type="pct"/>
            <w:shd w:val="clear" w:color="auto" w:fill="FFFFFF"/>
            <w:vAlign w:val="center"/>
          </w:tcPr>
          <w:p w:rsidR="00C502FF" w:rsidRPr="00FB782F" w:rsidRDefault="00C502FF" w:rsidP="00356891">
            <w:pPr>
              <w:spacing w:after="0" w:line="240" w:lineRule="auto"/>
              <w:jc w:val="center"/>
              <w:rPr>
                <w:rFonts w:asciiTheme="minorHAnsi" w:hAnsiTheme="minorHAnsi" w:cs="Arial"/>
                <w:sz w:val="20"/>
                <w:szCs w:val="20"/>
              </w:rPr>
            </w:pPr>
            <w:r>
              <w:rPr>
                <w:rFonts w:asciiTheme="minorHAnsi" w:hAnsiTheme="minorHAnsi" w:cs="Arial"/>
                <w:sz w:val="20"/>
                <w:szCs w:val="20"/>
              </w:rPr>
              <w:t>szt.</w:t>
            </w:r>
          </w:p>
        </w:tc>
        <w:tc>
          <w:tcPr>
            <w:tcW w:w="2914" w:type="pct"/>
            <w:shd w:val="clear" w:color="auto" w:fill="FFFFFF"/>
            <w:vAlign w:val="center"/>
          </w:tcPr>
          <w:p w:rsidR="00C502FF" w:rsidRDefault="00C502FF" w:rsidP="00C502FF">
            <w:pPr>
              <w:spacing w:after="0" w:line="240" w:lineRule="auto"/>
              <w:jc w:val="both"/>
              <w:rPr>
                <w:rFonts w:asciiTheme="minorHAnsi" w:eastAsia="Times New Roman" w:hAnsiTheme="minorHAnsi"/>
                <w:sz w:val="20"/>
                <w:szCs w:val="20"/>
                <w:lang w:eastAsia="pl-PL"/>
              </w:rPr>
            </w:pPr>
            <w:r w:rsidRPr="00C502FF">
              <w:rPr>
                <w:rFonts w:asciiTheme="minorHAnsi" w:eastAsia="Times New Roman" w:hAnsiTheme="minorHAnsi"/>
                <w:sz w:val="20"/>
                <w:szCs w:val="20"/>
                <w:lang w:eastAsia="pl-PL"/>
              </w:rPr>
              <w:t>Jako pojedyncze prace B+R traktuje się kompletny proces badawczy realizowany w ramach projektu, dotyczący jednego spójnego tematu badawczego.</w:t>
            </w:r>
          </w:p>
          <w:p w:rsidR="00C502FF" w:rsidRPr="00FB782F" w:rsidRDefault="00C502FF" w:rsidP="00356891">
            <w:pPr>
              <w:spacing w:after="0" w:line="240" w:lineRule="auto"/>
              <w:jc w:val="both"/>
              <w:rPr>
                <w:rFonts w:asciiTheme="minorHAnsi" w:eastAsia="Times New Roman" w:hAnsiTheme="minorHAnsi"/>
                <w:sz w:val="20"/>
                <w:szCs w:val="20"/>
                <w:lang w:eastAsia="pl-PL"/>
              </w:rPr>
            </w:pPr>
            <w:r w:rsidRPr="00C502FF">
              <w:rPr>
                <w:rFonts w:asciiTheme="minorHAnsi" w:eastAsia="Times New Roman" w:hAnsiTheme="minorHAnsi"/>
                <w:sz w:val="20"/>
                <w:szCs w:val="20"/>
                <w:lang w:eastAsia="pl-PL"/>
              </w:rPr>
              <w:t xml:space="preserve">Jako kompletny proces badawczy traktowany jest projekt, dlatego wskaźnik przyjmuje zawsze wartość 1. </w:t>
            </w:r>
          </w:p>
        </w:tc>
      </w:tr>
      <w:tr w:rsidR="00761B2A" w:rsidRPr="00FB782F" w:rsidTr="00F5575E">
        <w:trPr>
          <w:trHeight w:val="1001"/>
        </w:trPr>
        <w:tc>
          <w:tcPr>
            <w:tcW w:w="251" w:type="pct"/>
            <w:shd w:val="clear" w:color="auto" w:fill="FFFFFF"/>
            <w:vAlign w:val="center"/>
          </w:tcPr>
          <w:p w:rsidR="00761B2A" w:rsidRPr="00FB782F" w:rsidRDefault="00C502FF" w:rsidP="00356891">
            <w:pPr>
              <w:spacing w:after="0" w:line="240" w:lineRule="auto"/>
              <w:jc w:val="center"/>
              <w:rPr>
                <w:rFonts w:asciiTheme="minorHAnsi" w:hAnsiTheme="minorHAnsi"/>
                <w:sz w:val="20"/>
                <w:szCs w:val="20"/>
              </w:rPr>
            </w:pPr>
            <w:r>
              <w:rPr>
                <w:rFonts w:asciiTheme="minorHAnsi" w:hAnsiTheme="minorHAnsi"/>
                <w:sz w:val="20"/>
                <w:szCs w:val="20"/>
              </w:rPr>
              <w:t>9</w:t>
            </w:r>
          </w:p>
        </w:tc>
        <w:tc>
          <w:tcPr>
            <w:tcW w:w="1220" w:type="pct"/>
            <w:shd w:val="clear" w:color="auto" w:fill="FFFFFF"/>
            <w:vAlign w:val="center"/>
          </w:tcPr>
          <w:p w:rsidR="00761B2A" w:rsidRPr="00F5575E" w:rsidRDefault="000E32B0" w:rsidP="00F5575E">
            <w:pPr>
              <w:pStyle w:val="Nagwek3"/>
              <w:spacing w:line="240" w:lineRule="auto"/>
              <w:jc w:val="center"/>
              <w:rPr>
                <w:rFonts w:asciiTheme="minorHAnsi" w:hAnsiTheme="minorHAnsi"/>
                <w:b w:val="0"/>
                <w:color w:val="auto"/>
                <w:sz w:val="20"/>
                <w:szCs w:val="20"/>
              </w:rPr>
            </w:pPr>
            <w:bookmarkStart w:id="12" w:name="_Toc474224417"/>
            <w:r w:rsidRPr="00FB782F">
              <w:rPr>
                <w:rFonts w:asciiTheme="minorHAnsi" w:hAnsiTheme="minorHAnsi"/>
                <w:b w:val="0"/>
                <w:color w:val="auto"/>
                <w:sz w:val="20"/>
                <w:szCs w:val="20"/>
              </w:rPr>
              <w:t>Inwestycje prywatne uzupełniające wsparcie publiczne dla przedsiębiorstw (dotacje) (CI6)</w:t>
            </w:r>
            <w:bookmarkEnd w:id="12"/>
          </w:p>
        </w:tc>
        <w:tc>
          <w:tcPr>
            <w:tcW w:w="615" w:type="pct"/>
            <w:shd w:val="clear" w:color="auto" w:fill="FFFFFF"/>
            <w:vAlign w:val="center"/>
          </w:tcPr>
          <w:p w:rsidR="00761B2A" w:rsidRPr="00FB782F" w:rsidRDefault="000E32B0" w:rsidP="00356891">
            <w:pPr>
              <w:spacing w:after="0" w:line="240" w:lineRule="auto"/>
              <w:jc w:val="center"/>
              <w:rPr>
                <w:rFonts w:asciiTheme="minorHAnsi" w:hAnsiTheme="minorHAnsi" w:cs="Arial"/>
                <w:sz w:val="20"/>
                <w:szCs w:val="20"/>
              </w:rPr>
            </w:pPr>
            <w:r w:rsidRPr="00FB782F">
              <w:rPr>
                <w:rFonts w:asciiTheme="minorHAnsi" w:hAnsiTheme="minorHAnsi" w:cs="Arial"/>
                <w:sz w:val="20"/>
                <w:szCs w:val="20"/>
              </w:rPr>
              <w:t>zł</w:t>
            </w:r>
          </w:p>
        </w:tc>
        <w:tc>
          <w:tcPr>
            <w:tcW w:w="2914" w:type="pct"/>
            <w:shd w:val="clear" w:color="auto" w:fill="FFFFFF"/>
            <w:vAlign w:val="center"/>
          </w:tcPr>
          <w:p w:rsidR="00761B2A" w:rsidRPr="00FB782F" w:rsidRDefault="000E32B0" w:rsidP="00356891">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Łączna wartość wkładu prywatnego w realizowany projekt, który uzyskał pomoc państwa w formie bezzwrotnej dotacji, wliczając również wydatki niekwalifikowalne w ramach projektu.</w:t>
            </w:r>
          </w:p>
        </w:tc>
      </w:tr>
      <w:tr w:rsidR="00356891" w:rsidRPr="00FB782F" w:rsidTr="00B21F3D">
        <w:trPr>
          <w:trHeight w:val="535"/>
        </w:trPr>
        <w:tc>
          <w:tcPr>
            <w:tcW w:w="5000" w:type="pct"/>
            <w:gridSpan w:val="4"/>
            <w:shd w:val="clear" w:color="auto" w:fill="F2F2F2"/>
            <w:vAlign w:val="center"/>
          </w:tcPr>
          <w:p w:rsidR="00356891" w:rsidRPr="00FB782F" w:rsidRDefault="00356891" w:rsidP="00356891">
            <w:pPr>
              <w:spacing w:after="0" w:line="240" w:lineRule="auto"/>
              <w:jc w:val="center"/>
              <w:rPr>
                <w:rFonts w:asciiTheme="minorHAnsi" w:hAnsiTheme="minorHAnsi" w:cs="Arial"/>
                <w:b/>
                <w:sz w:val="20"/>
                <w:szCs w:val="20"/>
              </w:rPr>
            </w:pPr>
            <w:r w:rsidRPr="00FB782F">
              <w:rPr>
                <w:rFonts w:asciiTheme="minorHAnsi" w:hAnsiTheme="minorHAnsi" w:cs="Arial"/>
                <w:b/>
                <w:sz w:val="20"/>
                <w:szCs w:val="20"/>
              </w:rPr>
              <w:t>Wskaźnik horyzontalny</w:t>
            </w:r>
          </w:p>
        </w:tc>
      </w:tr>
      <w:tr w:rsidR="00356891" w:rsidRPr="00FB782F" w:rsidTr="00B21F3D">
        <w:trPr>
          <w:trHeight w:val="575"/>
        </w:trPr>
        <w:tc>
          <w:tcPr>
            <w:tcW w:w="251" w:type="pct"/>
            <w:shd w:val="clear" w:color="auto" w:fill="FFFFFF"/>
            <w:vAlign w:val="center"/>
          </w:tcPr>
          <w:p w:rsidR="00356891" w:rsidRPr="00FB782F" w:rsidRDefault="00356891" w:rsidP="00356891">
            <w:pPr>
              <w:spacing w:after="0" w:line="240" w:lineRule="auto"/>
              <w:jc w:val="center"/>
              <w:rPr>
                <w:rFonts w:asciiTheme="minorHAnsi" w:hAnsiTheme="minorHAnsi"/>
                <w:sz w:val="20"/>
                <w:szCs w:val="20"/>
              </w:rPr>
            </w:pPr>
            <w:r w:rsidRPr="00FB782F">
              <w:rPr>
                <w:rFonts w:asciiTheme="minorHAnsi" w:hAnsiTheme="minorHAnsi"/>
                <w:sz w:val="20"/>
                <w:szCs w:val="20"/>
              </w:rPr>
              <w:t>1</w:t>
            </w:r>
          </w:p>
        </w:tc>
        <w:tc>
          <w:tcPr>
            <w:tcW w:w="1220" w:type="pct"/>
            <w:shd w:val="clear" w:color="auto" w:fill="FFFFFF"/>
            <w:vAlign w:val="center"/>
          </w:tcPr>
          <w:p w:rsidR="00356891" w:rsidRPr="00FB782F" w:rsidRDefault="00356891" w:rsidP="00356891">
            <w:pPr>
              <w:spacing w:line="240" w:lineRule="auto"/>
              <w:rPr>
                <w:rFonts w:asciiTheme="minorHAnsi" w:hAnsiTheme="minorHAnsi"/>
                <w:sz w:val="20"/>
                <w:szCs w:val="20"/>
              </w:rPr>
            </w:pPr>
            <w:r w:rsidRPr="00FB782F">
              <w:rPr>
                <w:rFonts w:asciiTheme="minorHAnsi" w:hAnsiTheme="minorHAnsi"/>
                <w:sz w:val="20"/>
                <w:szCs w:val="20"/>
              </w:rPr>
              <w:t xml:space="preserve">Liczba obiektów dostosowanych do potrzeb osób z niepełnosprawnościami  </w:t>
            </w:r>
            <w:r w:rsidRPr="00FB782F">
              <w:rPr>
                <w:rFonts w:asciiTheme="minorHAnsi" w:hAnsiTheme="minorHAnsi"/>
                <w:sz w:val="20"/>
                <w:szCs w:val="20"/>
              </w:rPr>
              <w:lastRenderedPageBreak/>
              <w:t>[szt.]</w:t>
            </w:r>
          </w:p>
          <w:p w:rsidR="00356891" w:rsidRPr="00FB782F" w:rsidRDefault="00356891" w:rsidP="00356891">
            <w:pPr>
              <w:pStyle w:val="Nagwek3"/>
              <w:spacing w:line="240" w:lineRule="auto"/>
              <w:jc w:val="center"/>
              <w:rPr>
                <w:rFonts w:asciiTheme="minorHAnsi" w:eastAsia="Times New Roman" w:hAnsiTheme="minorHAnsi"/>
                <w:b w:val="0"/>
                <w:color w:val="auto"/>
                <w:sz w:val="20"/>
                <w:szCs w:val="20"/>
                <w:lang w:eastAsia="pl-PL"/>
              </w:rPr>
            </w:pPr>
          </w:p>
        </w:tc>
        <w:tc>
          <w:tcPr>
            <w:tcW w:w="615" w:type="pct"/>
            <w:shd w:val="clear" w:color="auto" w:fill="FFFFFF"/>
            <w:vAlign w:val="center"/>
          </w:tcPr>
          <w:p w:rsidR="00356891" w:rsidRPr="00FB782F" w:rsidRDefault="00356891" w:rsidP="00356891">
            <w:pPr>
              <w:spacing w:after="0" w:line="240" w:lineRule="auto"/>
              <w:jc w:val="center"/>
              <w:rPr>
                <w:rFonts w:asciiTheme="minorHAnsi" w:hAnsiTheme="minorHAnsi" w:cs="Arial"/>
                <w:sz w:val="20"/>
                <w:szCs w:val="20"/>
              </w:rPr>
            </w:pPr>
            <w:r w:rsidRPr="00FB782F">
              <w:rPr>
                <w:rFonts w:asciiTheme="minorHAnsi" w:hAnsiTheme="minorHAnsi" w:cs="Arial"/>
                <w:sz w:val="20"/>
                <w:szCs w:val="20"/>
              </w:rPr>
              <w:lastRenderedPageBreak/>
              <w:t>szt.</w:t>
            </w:r>
          </w:p>
        </w:tc>
        <w:tc>
          <w:tcPr>
            <w:tcW w:w="2914" w:type="pct"/>
            <w:shd w:val="clear" w:color="auto" w:fill="FFFFFF"/>
            <w:vAlign w:val="center"/>
          </w:tcPr>
          <w:p w:rsidR="00356891" w:rsidRPr="00FB782F" w:rsidRDefault="00356891" w:rsidP="00356891">
            <w:pPr>
              <w:spacing w:line="240" w:lineRule="auto"/>
              <w:jc w:val="both"/>
              <w:rPr>
                <w:rFonts w:asciiTheme="minorHAnsi" w:hAnsiTheme="minorHAnsi"/>
                <w:sz w:val="20"/>
                <w:szCs w:val="20"/>
              </w:rPr>
            </w:pPr>
            <w:r w:rsidRPr="00FB782F">
              <w:rPr>
                <w:rFonts w:asciiTheme="minorHAnsi" w:hAnsiTheme="minorHAnsi"/>
                <w:sz w:val="20"/>
                <w:szCs w:val="20"/>
              </w:rPr>
              <w:t xml:space="preserve">Wskaźnik odnosi się do liczby obiektów, które zaopatrzono w specjalne podjazdy, windy, urządzenia głośnomówiące, bądź inne rozwiązania umożliwiające dostęp (tj. usunięcie barier </w:t>
            </w:r>
            <w:r w:rsidR="00F5575E">
              <w:rPr>
                <w:rFonts w:asciiTheme="minorHAnsi" w:hAnsiTheme="minorHAnsi"/>
                <w:sz w:val="20"/>
                <w:szCs w:val="20"/>
              </w:rPr>
              <w:br/>
            </w:r>
            <w:r w:rsidRPr="00FB782F">
              <w:rPr>
                <w:rFonts w:asciiTheme="minorHAnsi" w:hAnsiTheme="minorHAnsi"/>
                <w:sz w:val="20"/>
                <w:szCs w:val="20"/>
              </w:rPr>
              <w:t>w dostępie, w szczególności barier architektonicznych) do tych obiektów i</w:t>
            </w:r>
            <w:r w:rsidR="00F5575E">
              <w:rPr>
                <w:rFonts w:asciiTheme="minorHAnsi" w:hAnsiTheme="minorHAnsi"/>
                <w:sz w:val="20"/>
                <w:szCs w:val="20"/>
              </w:rPr>
              <w:t xml:space="preserve"> poruszanie się po nich </w:t>
            </w:r>
            <w:r w:rsidR="00F5575E">
              <w:rPr>
                <w:rFonts w:asciiTheme="minorHAnsi" w:hAnsiTheme="minorHAnsi"/>
                <w:sz w:val="20"/>
                <w:szCs w:val="20"/>
              </w:rPr>
              <w:lastRenderedPageBreak/>
              <w:t xml:space="preserve">osobom </w:t>
            </w:r>
            <w:r w:rsidRPr="00FB782F">
              <w:rPr>
                <w:rFonts w:asciiTheme="minorHAnsi" w:hAnsiTheme="minorHAnsi"/>
                <w:sz w:val="20"/>
                <w:szCs w:val="20"/>
              </w:rPr>
              <w:t>z niepełnosprawnościami ruchowymi czy sensorycznymi. Jako obiekty budowlane należy rozumieć konstrukcje połączone z gru</w:t>
            </w:r>
            <w:r w:rsidR="00F5575E">
              <w:rPr>
                <w:rFonts w:asciiTheme="minorHAnsi" w:hAnsiTheme="minorHAnsi"/>
                <w:sz w:val="20"/>
                <w:szCs w:val="20"/>
              </w:rPr>
              <w:t xml:space="preserve">ntem w sposób trwały, wykonane </w:t>
            </w:r>
            <w:r w:rsidRPr="00FB782F">
              <w:rPr>
                <w:rFonts w:asciiTheme="minorHAnsi" w:hAnsiTheme="minorHAnsi"/>
                <w:sz w:val="20"/>
                <w:szCs w:val="20"/>
              </w:rPr>
              <w:t xml:space="preserve">z materiałów budowlanych </w:t>
            </w:r>
            <w:r w:rsidR="00F5575E">
              <w:rPr>
                <w:rFonts w:asciiTheme="minorHAnsi" w:hAnsiTheme="minorHAnsi"/>
                <w:sz w:val="20"/>
                <w:szCs w:val="20"/>
              </w:rPr>
              <w:br/>
            </w:r>
            <w:r w:rsidRPr="00FB782F">
              <w:rPr>
                <w:rFonts w:asciiTheme="minorHAnsi" w:hAnsiTheme="minorHAnsi"/>
                <w:sz w:val="20"/>
                <w:szCs w:val="20"/>
              </w:rPr>
              <w:t>i elementów składowych, będące wynikiem prac budowlanych.</w:t>
            </w:r>
          </w:p>
          <w:p w:rsidR="00356891" w:rsidRPr="00FB782F" w:rsidRDefault="00356891" w:rsidP="00356891">
            <w:pPr>
              <w:spacing w:line="240" w:lineRule="auto"/>
              <w:jc w:val="both"/>
              <w:rPr>
                <w:rFonts w:asciiTheme="minorHAnsi" w:hAnsiTheme="minorHAnsi"/>
                <w:sz w:val="20"/>
                <w:szCs w:val="20"/>
              </w:rPr>
            </w:pPr>
            <w:r w:rsidRPr="00FB782F">
              <w:rPr>
                <w:rFonts w:asciiTheme="minorHAnsi" w:hAnsiTheme="minorHAnsi"/>
                <w:sz w:val="20"/>
                <w:szCs w:val="20"/>
              </w:rPr>
              <w:t xml:space="preserve">Należy podać liczbę obiektów, w których zastosowano rozwiązania umożliwiające dostęp osobom </w:t>
            </w:r>
            <w:r w:rsidRPr="00FB782F">
              <w:rPr>
                <w:rFonts w:asciiTheme="minorHAnsi" w:hAnsiTheme="minorHAnsi"/>
                <w:sz w:val="20"/>
                <w:szCs w:val="20"/>
              </w:rPr>
              <w:br/>
              <w:t xml:space="preserve">z niepełnosprawnościami ruchowymi czy sensorycznymi lub zaopatrzonych w sprzęt, a nie liczbę sprzętów, urządzeń itp. Jeśli instytucja, zakład itp. składa się z kilku obiektów, należy zliczyć wszystkie, które dostosowano do potrzeb osób z niepełnosprawnościami. Wskaźnik mierzony </w:t>
            </w:r>
            <w:r w:rsidR="00F5575E">
              <w:rPr>
                <w:rFonts w:asciiTheme="minorHAnsi" w:hAnsiTheme="minorHAnsi"/>
                <w:sz w:val="20"/>
                <w:szCs w:val="20"/>
              </w:rPr>
              <w:br/>
            </w:r>
            <w:r w:rsidRPr="00FB782F">
              <w:rPr>
                <w:rFonts w:asciiTheme="minorHAnsi" w:hAnsiTheme="minorHAnsi"/>
                <w:sz w:val="20"/>
                <w:szCs w:val="20"/>
              </w:rPr>
              <w:t xml:space="preserve">w momencie rozliczenia wydatku związanego z dostosowaniem obiektów do potrzeb osób </w:t>
            </w:r>
            <w:r w:rsidR="00F5575E">
              <w:rPr>
                <w:rFonts w:asciiTheme="minorHAnsi" w:hAnsiTheme="minorHAnsi"/>
                <w:sz w:val="20"/>
                <w:szCs w:val="20"/>
              </w:rPr>
              <w:br/>
            </w:r>
            <w:r w:rsidRPr="00FB782F">
              <w:rPr>
                <w:rFonts w:asciiTheme="minorHAnsi" w:hAnsiTheme="minorHAnsi"/>
                <w:sz w:val="20"/>
                <w:szCs w:val="20"/>
              </w:rPr>
              <w:t>z niepełnosprawnościami w ramach danego projektu.</w:t>
            </w:r>
          </w:p>
        </w:tc>
      </w:tr>
      <w:tr w:rsidR="00356891" w:rsidRPr="00FB782F" w:rsidTr="00B21F3D">
        <w:trPr>
          <w:trHeight w:val="57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356891" w:rsidRPr="00FB782F" w:rsidRDefault="00356891" w:rsidP="00356891">
            <w:pPr>
              <w:spacing w:after="0" w:line="240" w:lineRule="auto"/>
              <w:jc w:val="center"/>
              <w:rPr>
                <w:rFonts w:asciiTheme="minorHAnsi" w:hAnsiTheme="minorHAnsi"/>
                <w:sz w:val="20"/>
                <w:szCs w:val="20"/>
              </w:rPr>
            </w:pPr>
            <w:r w:rsidRPr="00FB782F">
              <w:rPr>
                <w:rFonts w:asciiTheme="minorHAnsi" w:hAnsiTheme="minorHAnsi"/>
                <w:sz w:val="20"/>
                <w:szCs w:val="20"/>
              </w:rPr>
              <w:lastRenderedPageBreak/>
              <w:t>2</w:t>
            </w:r>
          </w:p>
        </w:tc>
        <w:tc>
          <w:tcPr>
            <w:tcW w:w="1220" w:type="pct"/>
            <w:tcBorders>
              <w:top w:val="single" w:sz="4" w:space="0" w:color="auto"/>
              <w:left w:val="single" w:sz="4" w:space="0" w:color="auto"/>
              <w:bottom w:val="single" w:sz="4" w:space="0" w:color="auto"/>
              <w:right w:val="single" w:sz="4" w:space="0" w:color="auto"/>
            </w:tcBorders>
            <w:shd w:val="clear" w:color="auto" w:fill="FFFFFF"/>
            <w:vAlign w:val="center"/>
          </w:tcPr>
          <w:p w:rsidR="00356891" w:rsidRPr="00FB782F" w:rsidRDefault="00356891" w:rsidP="00356891">
            <w:pPr>
              <w:spacing w:line="240" w:lineRule="auto"/>
              <w:rPr>
                <w:rFonts w:asciiTheme="minorHAnsi" w:hAnsiTheme="minorHAnsi"/>
                <w:sz w:val="20"/>
                <w:szCs w:val="20"/>
              </w:rPr>
            </w:pPr>
            <w:r w:rsidRPr="00FB782F">
              <w:rPr>
                <w:rFonts w:asciiTheme="minorHAnsi" w:hAnsiTheme="minorHAnsi"/>
                <w:sz w:val="20"/>
                <w:szCs w:val="20"/>
              </w:rPr>
              <w:t xml:space="preserve">Liczba osób objętych szkoleniami / doradztwem w zakresie kompetencji cyfrowych </w:t>
            </w:r>
          </w:p>
          <w:p w:rsidR="00356891" w:rsidRPr="00FB782F" w:rsidRDefault="00356891" w:rsidP="00356891">
            <w:pPr>
              <w:spacing w:line="240" w:lineRule="auto"/>
              <w:rPr>
                <w:rFonts w:asciiTheme="minorHAnsi" w:hAnsiTheme="minorHAnsi"/>
                <w:sz w:val="20"/>
                <w:szCs w:val="20"/>
              </w:rPr>
            </w:pPr>
          </w:p>
        </w:tc>
        <w:tc>
          <w:tcPr>
            <w:tcW w:w="615" w:type="pct"/>
            <w:tcBorders>
              <w:top w:val="single" w:sz="4" w:space="0" w:color="auto"/>
              <w:left w:val="single" w:sz="4" w:space="0" w:color="auto"/>
              <w:bottom w:val="single" w:sz="4" w:space="0" w:color="auto"/>
              <w:right w:val="single" w:sz="4" w:space="0" w:color="auto"/>
            </w:tcBorders>
            <w:shd w:val="clear" w:color="auto" w:fill="FFFFFF"/>
            <w:vAlign w:val="center"/>
          </w:tcPr>
          <w:p w:rsidR="00356891" w:rsidRPr="00FB782F" w:rsidRDefault="00356891" w:rsidP="00356891">
            <w:pPr>
              <w:spacing w:after="0" w:line="240" w:lineRule="auto"/>
              <w:jc w:val="center"/>
              <w:rPr>
                <w:rFonts w:asciiTheme="minorHAnsi" w:hAnsiTheme="minorHAnsi" w:cs="Arial"/>
                <w:sz w:val="20"/>
                <w:szCs w:val="20"/>
              </w:rPr>
            </w:pPr>
            <w:r w:rsidRPr="00FB782F">
              <w:rPr>
                <w:rFonts w:asciiTheme="minorHAnsi" w:hAnsiTheme="minorHAnsi"/>
                <w:sz w:val="20"/>
                <w:szCs w:val="20"/>
              </w:rPr>
              <w:t xml:space="preserve"> osoby</w:t>
            </w:r>
          </w:p>
        </w:tc>
        <w:tc>
          <w:tcPr>
            <w:tcW w:w="2914" w:type="pct"/>
            <w:tcBorders>
              <w:top w:val="single" w:sz="4" w:space="0" w:color="auto"/>
              <w:left w:val="single" w:sz="4" w:space="0" w:color="auto"/>
              <w:bottom w:val="single" w:sz="4" w:space="0" w:color="auto"/>
              <w:right w:val="single" w:sz="4" w:space="0" w:color="auto"/>
            </w:tcBorders>
            <w:shd w:val="clear" w:color="auto" w:fill="FFFFFF"/>
            <w:vAlign w:val="center"/>
          </w:tcPr>
          <w:p w:rsidR="00356891" w:rsidRPr="00FB782F" w:rsidRDefault="00356891" w:rsidP="00356891">
            <w:pPr>
              <w:spacing w:line="240" w:lineRule="auto"/>
              <w:jc w:val="both"/>
              <w:rPr>
                <w:rFonts w:asciiTheme="minorHAnsi" w:hAnsiTheme="minorHAnsi"/>
                <w:sz w:val="20"/>
                <w:szCs w:val="20"/>
              </w:rPr>
            </w:pPr>
            <w:r w:rsidRPr="00FB782F">
              <w:rPr>
                <w:rFonts w:asciiTheme="minorHAnsi" w:hAnsiTheme="minorHAnsi"/>
                <w:sz w:val="20"/>
                <w:szCs w:val="20"/>
              </w:rPr>
              <w:t xml:space="preserve">Wskaźnik mierzy liczbę osób objętych szkoleniami / doradztwem w zakresie nabywania / doskonalenia umiejętności warunkujących efektywne korzystanie z mediów elektronicznych tj. m.in. korzystania z komputera, różnych rodzajów oprogramowania, </w:t>
            </w:r>
            <w:r w:rsidR="00F5575E" w:rsidRPr="00FB782F">
              <w:rPr>
                <w:rFonts w:asciiTheme="minorHAnsi" w:hAnsiTheme="minorHAnsi"/>
                <w:sz w:val="20"/>
                <w:szCs w:val="20"/>
              </w:rPr>
              <w:t>Internetu</w:t>
            </w:r>
            <w:r w:rsidRPr="00FB782F">
              <w:rPr>
                <w:rFonts w:asciiTheme="minorHAnsi" w:hAnsiTheme="minorHAnsi"/>
                <w:sz w:val="20"/>
                <w:szCs w:val="20"/>
              </w:rPr>
              <w:t xml:space="preserve"> oraz kompetencji ściśle informatycznych (np. programowanie, zarządzanie bazami danych, administracja sieciami, administracja witrynami internetowymi). </w:t>
            </w:r>
          </w:p>
          <w:p w:rsidR="00356891" w:rsidRPr="00FB782F" w:rsidRDefault="00356891" w:rsidP="00356891">
            <w:pPr>
              <w:spacing w:line="240" w:lineRule="auto"/>
              <w:jc w:val="both"/>
              <w:rPr>
                <w:rFonts w:asciiTheme="minorHAnsi" w:hAnsiTheme="minorHAnsi"/>
                <w:sz w:val="20"/>
                <w:szCs w:val="20"/>
              </w:rPr>
            </w:pPr>
            <w:r w:rsidRPr="00FB782F">
              <w:rPr>
                <w:rFonts w:asciiTheme="minorHAnsi" w:hAnsiTheme="minorHAnsi"/>
                <w:sz w:val="20"/>
                <w:szCs w:val="20"/>
              </w:rPr>
              <w:t xml:space="preserve">Wskaźnik ma agregować wszystkie osoby, które skorzystały ze wsparcia w zakresie TIK we wszystkich programach i projektach, także tych, gdzie szkolenie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w:t>
            </w:r>
            <w:r w:rsidR="00F5575E">
              <w:rPr>
                <w:rFonts w:asciiTheme="minorHAnsi" w:hAnsiTheme="minorHAnsi"/>
                <w:sz w:val="20"/>
                <w:szCs w:val="20"/>
              </w:rPr>
              <w:br/>
            </w:r>
            <w:r w:rsidRPr="00FB782F">
              <w:rPr>
                <w:rFonts w:asciiTheme="minorHAnsi" w:hAnsiTheme="minorHAnsi"/>
                <w:sz w:val="20"/>
                <w:szCs w:val="20"/>
              </w:rPr>
              <w:t>i priorytetów inwestycyjnych</w:t>
            </w:r>
          </w:p>
        </w:tc>
      </w:tr>
      <w:tr w:rsidR="00356891" w:rsidRPr="00FB782F" w:rsidTr="00B21F3D">
        <w:trPr>
          <w:trHeight w:val="57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356891" w:rsidRPr="00FB782F" w:rsidRDefault="00356891" w:rsidP="00356891">
            <w:pPr>
              <w:spacing w:after="0" w:line="240" w:lineRule="auto"/>
              <w:jc w:val="center"/>
              <w:rPr>
                <w:rFonts w:asciiTheme="minorHAnsi" w:hAnsiTheme="minorHAnsi"/>
                <w:sz w:val="20"/>
                <w:szCs w:val="20"/>
              </w:rPr>
            </w:pPr>
            <w:r w:rsidRPr="00FB782F">
              <w:rPr>
                <w:rFonts w:asciiTheme="minorHAnsi" w:hAnsiTheme="minorHAnsi"/>
                <w:sz w:val="20"/>
                <w:szCs w:val="20"/>
              </w:rPr>
              <w:t>3</w:t>
            </w:r>
          </w:p>
        </w:tc>
        <w:tc>
          <w:tcPr>
            <w:tcW w:w="1220" w:type="pct"/>
            <w:tcBorders>
              <w:top w:val="single" w:sz="4" w:space="0" w:color="auto"/>
              <w:left w:val="single" w:sz="4" w:space="0" w:color="auto"/>
              <w:bottom w:val="single" w:sz="4" w:space="0" w:color="auto"/>
              <w:right w:val="single" w:sz="4" w:space="0" w:color="auto"/>
            </w:tcBorders>
            <w:shd w:val="clear" w:color="auto" w:fill="FFFFFF"/>
            <w:vAlign w:val="center"/>
          </w:tcPr>
          <w:p w:rsidR="00356891" w:rsidRPr="00FB782F" w:rsidRDefault="00356891" w:rsidP="00356891">
            <w:pPr>
              <w:spacing w:line="240" w:lineRule="auto"/>
              <w:rPr>
                <w:rFonts w:asciiTheme="minorHAnsi" w:hAnsiTheme="minorHAnsi"/>
                <w:sz w:val="20"/>
                <w:szCs w:val="20"/>
              </w:rPr>
            </w:pPr>
            <w:r w:rsidRPr="00FB782F">
              <w:rPr>
                <w:rFonts w:asciiTheme="minorHAnsi" w:hAnsiTheme="minorHAnsi"/>
                <w:sz w:val="20"/>
                <w:szCs w:val="20"/>
              </w:rPr>
              <w:t xml:space="preserve">Liczba projektów, w których sfinansowano koszty racjonalnych usprawnień dla osób </w:t>
            </w:r>
            <w:r w:rsidR="00F5575E">
              <w:rPr>
                <w:rFonts w:asciiTheme="minorHAnsi" w:hAnsiTheme="minorHAnsi"/>
                <w:sz w:val="20"/>
                <w:szCs w:val="20"/>
              </w:rPr>
              <w:br/>
            </w:r>
            <w:r w:rsidRPr="00FB782F">
              <w:rPr>
                <w:rFonts w:asciiTheme="minorHAnsi" w:hAnsiTheme="minorHAnsi"/>
                <w:sz w:val="20"/>
                <w:szCs w:val="20"/>
              </w:rPr>
              <w:t xml:space="preserve">z niepełnosprawnościami </w:t>
            </w:r>
          </w:p>
          <w:p w:rsidR="00356891" w:rsidRPr="00FB782F" w:rsidRDefault="00356891" w:rsidP="00356891">
            <w:pPr>
              <w:spacing w:line="240" w:lineRule="auto"/>
              <w:rPr>
                <w:rFonts w:asciiTheme="minorHAnsi" w:hAnsiTheme="minorHAnsi"/>
                <w:sz w:val="20"/>
                <w:szCs w:val="20"/>
              </w:rPr>
            </w:pPr>
          </w:p>
        </w:tc>
        <w:tc>
          <w:tcPr>
            <w:tcW w:w="615" w:type="pct"/>
            <w:tcBorders>
              <w:top w:val="single" w:sz="4" w:space="0" w:color="auto"/>
              <w:left w:val="single" w:sz="4" w:space="0" w:color="auto"/>
              <w:bottom w:val="single" w:sz="4" w:space="0" w:color="auto"/>
              <w:right w:val="single" w:sz="4" w:space="0" w:color="auto"/>
            </w:tcBorders>
            <w:shd w:val="clear" w:color="auto" w:fill="FFFFFF"/>
            <w:vAlign w:val="center"/>
          </w:tcPr>
          <w:p w:rsidR="00356891" w:rsidRPr="00FB782F" w:rsidRDefault="00356891" w:rsidP="00356891">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tcBorders>
              <w:top w:val="single" w:sz="4" w:space="0" w:color="auto"/>
              <w:left w:val="single" w:sz="4" w:space="0" w:color="auto"/>
              <w:bottom w:val="single" w:sz="4" w:space="0" w:color="auto"/>
              <w:right w:val="single" w:sz="4" w:space="0" w:color="auto"/>
            </w:tcBorders>
            <w:shd w:val="clear" w:color="auto" w:fill="FFFFFF"/>
            <w:vAlign w:val="center"/>
          </w:tcPr>
          <w:p w:rsidR="00356891" w:rsidRPr="00FB782F" w:rsidRDefault="00356891" w:rsidP="00356891">
            <w:pPr>
              <w:spacing w:line="240" w:lineRule="auto"/>
              <w:jc w:val="both"/>
              <w:rPr>
                <w:rFonts w:asciiTheme="minorHAnsi" w:hAnsiTheme="minorHAnsi"/>
                <w:sz w:val="20"/>
                <w:szCs w:val="20"/>
              </w:rPr>
            </w:pPr>
            <w:r w:rsidRPr="00FB782F">
              <w:rPr>
                <w:rFonts w:asciiTheme="minorHAnsi" w:hAnsiTheme="minorHAnsi"/>
                <w:sz w:val="20"/>
                <w:szCs w:val="20"/>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rsidR="00356891" w:rsidRPr="00FB782F" w:rsidRDefault="00356891" w:rsidP="00356891">
            <w:pPr>
              <w:spacing w:line="240" w:lineRule="auto"/>
              <w:jc w:val="both"/>
              <w:rPr>
                <w:rFonts w:asciiTheme="minorHAnsi" w:hAnsiTheme="minorHAnsi"/>
                <w:sz w:val="20"/>
                <w:szCs w:val="20"/>
              </w:rPr>
            </w:pPr>
            <w:r w:rsidRPr="00FB782F">
              <w:rPr>
                <w:rFonts w:asciiTheme="minorHAnsi" w:hAnsiTheme="minorHAnsi"/>
                <w:sz w:val="20"/>
                <w:szCs w:val="20"/>
              </w:rPr>
              <w:t xml:space="preserve">Wskaźnik mierzony w momencie rozliczenia wydatku związanego z racjonalnymi usprawnieniami </w:t>
            </w:r>
            <w:r w:rsidR="00F5575E">
              <w:rPr>
                <w:rFonts w:asciiTheme="minorHAnsi" w:hAnsiTheme="minorHAnsi"/>
                <w:sz w:val="20"/>
                <w:szCs w:val="20"/>
              </w:rPr>
              <w:br/>
            </w:r>
            <w:r w:rsidRPr="00FB782F">
              <w:rPr>
                <w:rFonts w:asciiTheme="minorHAnsi" w:hAnsiTheme="minorHAnsi"/>
                <w:sz w:val="20"/>
                <w:szCs w:val="20"/>
              </w:rPr>
              <w:t xml:space="preserve">w ramach danego projektu. Przykłady racjonalnych usprawnień: tłumacz języka migowego, transport niskopodłogowy, dostosowanie infrastruktury (nie tylko budynku, ale też dostosowanie infrastruktury komputerowej np. programy powiększające, mówiące, drukarki materiałów </w:t>
            </w:r>
            <w:r w:rsidR="00F5575E">
              <w:rPr>
                <w:rFonts w:asciiTheme="minorHAnsi" w:hAnsiTheme="minorHAnsi"/>
                <w:sz w:val="20"/>
                <w:szCs w:val="20"/>
              </w:rPr>
              <w:br/>
            </w:r>
            <w:r w:rsidRPr="00FB782F">
              <w:rPr>
                <w:rFonts w:asciiTheme="minorHAnsi" w:hAnsiTheme="minorHAnsi"/>
                <w:sz w:val="20"/>
                <w:szCs w:val="20"/>
              </w:rPr>
              <w:t>w alfabecie Braille'a), osoby asystujące, odpowiednie dostosowanie wyżywienia.</w:t>
            </w:r>
          </w:p>
        </w:tc>
      </w:tr>
      <w:tr w:rsidR="00356891" w:rsidRPr="00FB782F" w:rsidTr="00B21F3D">
        <w:trPr>
          <w:trHeight w:val="57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356891" w:rsidRPr="00FB782F" w:rsidRDefault="00356891" w:rsidP="00356891">
            <w:pPr>
              <w:spacing w:after="0" w:line="240" w:lineRule="auto"/>
              <w:jc w:val="center"/>
              <w:rPr>
                <w:rFonts w:asciiTheme="minorHAnsi" w:hAnsiTheme="minorHAnsi"/>
                <w:sz w:val="20"/>
                <w:szCs w:val="20"/>
              </w:rPr>
            </w:pPr>
            <w:r w:rsidRPr="00FB782F">
              <w:rPr>
                <w:rFonts w:asciiTheme="minorHAnsi" w:hAnsiTheme="minorHAnsi"/>
                <w:sz w:val="20"/>
                <w:szCs w:val="20"/>
              </w:rPr>
              <w:lastRenderedPageBreak/>
              <w:t>4</w:t>
            </w:r>
          </w:p>
        </w:tc>
        <w:tc>
          <w:tcPr>
            <w:tcW w:w="1220" w:type="pct"/>
            <w:tcBorders>
              <w:top w:val="single" w:sz="4" w:space="0" w:color="auto"/>
              <w:left w:val="single" w:sz="4" w:space="0" w:color="auto"/>
              <w:bottom w:val="single" w:sz="4" w:space="0" w:color="auto"/>
              <w:right w:val="single" w:sz="4" w:space="0" w:color="auto"/>
            </w:tcBorders>
            <w:shd w:val="clear" w:color="auto" w:fill="FFFFFF"/>
            <w:vAlign w:val="center"/>
          </w:tcPr>
          <w:p w:rsidR="00356891" w:rsidRPr="00FB782F" w:rsidRDefault="00356891" w:rsidP="00356891">
            <w:pPr>
              <w:spacing w:line="240" w:lineRule="auto"/>
              <w:rPr>
                <w:rFonts w:asciiTheme="minorHAnsi" w:hAnsiTheme="minorHAnsi"/>
                <w:sz w:val="20"/>
                <w:szCs w:val="20"/>
              </w:rPr>
            </w:pPr>
            <w:r w:rsidRPr="00FB782F">
              <w:rPr>
                <w:rFonts w:asciiTheme="minorHAnsi" w:hAnsiTheme="minorHAnsi"/>
                <w:sz w:val="20"/>
                <w:szCs w:val="20"/>
              </w:rPr>
              <w:t xml:space="preserve">Liczba podmiotów wykorzystujących technologie </w:t>
            </w:r>
            <w:r w:rsidR="008301FC" w:rsidRPr="00FB782F">
              <w:rPr>
                <w:rFonts w:asciiTheme="minorHAnsi" w:hAnsiTheme="minorHAnsi"/>
                <w:sz w:val="20"/>
                <w:szCs w:val="20"/>
              </w:rPr>
              <w:t>informacyjno-komunikacyjne</w:t>
            </w:r>
            <w:r w:rsidRPr="00FB782F">
              <w:rPr>
                <w:rFonts w:asciiTheme="minorHAnsi" w:hAnsiTheme="minorHAnsi"/>
                <w:sz w:val="20"/>
                <w:szCs w:val="20"/>
              </w:rPr>
              <w:t xml:space="preserve"> </w:t>
            </w:r>
          </w:p>
        </w:tc>
        <w:tc>
          <w:tcPr>
            <w:tcW w:w="615" w:type="pct"/>
            <w:tcBorders>
              <w:top w:val="single" w:sz="4" w:space="0" w:color="auto"/>
              <w:left w:val="single" w:sz="4" w:space="0" w:color="auto"/>
              <w:bottom w:val="single" w:sz="4" w:space="0" w:color="auto"/>
              <w:right w:val="single" w:sz="4" w:space="0" w:color="auto"/>
            </w:tcBorders>
            <w:shd w:val="clear" w:color="auto" w:fill="FFFFFF"/>
            <w:vAlign w:val="center"/>
          </w:tcPr>
          <w:p w:rsidR="00356891" w:rsidRPr="00FB782F" w:rsidRDefault="00356891" w:rsidP="00356891">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tcBorders>
              <w:top w:val="single" w:sz="4" w:space="0" w:color="auto"/>
              <w:left w:val="single" w:sz="4" w:space="0" w:color="auto"/>
              <w:bottom w:val="single" w:sz="4" w:space="0" w:color="auto"/>
              <w:right w:val="single" w:sz="4" w:space="0" w:color="auto"/>
            </w:tcBorders>
            <w:shd w:val="clear" w:color="auto" w:fill="FFFFFF"/>
            <w:vAlign w:val="center"/>
          </w:tcPr>
          <w:p w:rsidR="00356891" w:rsidRPr="00FB782F" w:rsidRDefault="00356891" w:rsidP="00356891">
            <w:pPr>
              <w:spacing w:line="240" w:lineRule="auto"/>
              <w:jc w:val="both"/>
              <w:rPr>
                <w:rFonts w:asciiTheme="minorHAnsi" w:hAnsiTheme="minorHAnsi"/>
                <w:sz w:val="20"/>
                <w:szCs w:val="20"/>
              </w:rPr>
            </w:pPr>
            <w:r w:rsidRPr="00FB782F">
              <w:rPr>
                <w:rFonts w:asciiTheme="minorHAnsi" w:hAnsiTheme="minorHAnsi"/>
                <w:sz w:val="20"/>
                <w:szCs w:val="20"/>
              </w:rPr>
              <w:t xml:space="preserve">Wskaźnik  mierzy  liczbę  podmiotów,  które  w  celu  realizacji  projektu,  zainwestowały  </w:t>
            </w:r>
            <w:r w:rsidR="00F5575E">
              <w:rPr>
                <w:rFonts w:asciiTheme="minorHAnsi" w:hAnsiTheme="minorHAnsi"/>
                <w:sz w:val="20"/>
                <w:szCs w:val="20"/>
              </w:rPr>
              <w:br/>
              <w:t>w t</w:t>
            </w:r>
            <w:r w:rsidRPr="00FB782F">
              <w:rPr>
                <w:rFonts w:asciiTheme="minorHAnsi" w:hAnsiTheme="minorHAnsi"/>
                <w:sz w:val="20"/>
                <w:szCs w:val="20"/>
              </w:rPr>
              <w:t>echnologie informacyjno-komunikacyjne</w:t>
            </w:r>
            <w:r w:rsidR="008301FC" w:rsidRPr="00FB782F">
              <w:rPr>
                <w:rFonts w:asciiTheme="minorHAnsi" w:hAnsiTheme="minorHAnsi"/>
                <w:sz w:val="20"/>
                <w:szCs w:val="20"/>
              </w:rPr>
              <w:t xml:space="preserve"> (TIK)</w:t>
            </w:r>
            <w:r w:rsidRPr="00FB782F">
              <w:rPr>
                <w:rFonts w:asciiTheme="minorHAnsi" w:hAnsiTheme="minorHAnsi"/>
                <w:sz w:val="20"/>
                <w:szCs w:val="20"/>
              </w:rPr>
              <w:t xml:space="preserve">, a w   przypadku   projektów   edukacyjno-szkoleniowych,  również podmiotów, które podjęły działania upowszechniające wykorzystanie TIK. </w:t>
            </w:r>
          </w:p>
          <w:p w:rsidR="00356891" w:rsidRPr="00FB782F" w:rsidRDefault="00356891" w:rsidP="00356891">
            <w:pPr>
              <w:spacing w:line="240" w:lineRule="auto"/>
              <w:jc w:val="both"/>
              <w:rPr>
                <w:rFonts w:asciiTheme="minorHAnsi" w:hAnsiTheme="minorHAnsi"/>
                <w:sz w:val="20"/>
                <w:szCs w:val="20"/>
              </w:rPr>
            </w:pPr>
            <w:r w:rsidRPr="00FB782F">
              <w:rPr>
                <w:rFonts w:asciiTheme="minorHAnsi" w:hAnsiTheme="minorHAnsi"/>
                <w:sz w:val="20"/>
                <w:szCs w:val="20"/>
              </w:rPr>
              <w:t>Przez   technologie   informacyjno-komunikacyjne   (ang.   ICT – Information   and   Communications Technology)  należy  rozumieć  technologie  pozyskiwania/  produkcji,  gromadzenia/  przechowywania, przesyłania, przetwarzania i rozpowszechniania informacji w formie elektronicznej  z</w:t>
            </w:r>
            <w:r w:rsidR="00F5575E">
              <w:rPr>
                <w:rFonts w:asciiTheme="minorHAnsi" w:hAnsiTheme="minorHAnsi"/>
                <w:sz w:val="20"/>
                <w:szCs w:val="20"/>
              </w:rPr>
              <w:t xml:space="preserve"> </w:t>
            </w:r>
            <w:r w:rsidRPr="00FB782F">
              <w:rPr>
                <w:rFonts w:asciiTheme="minorHAnsi" w:hAnsiTheme="minorHAnsi"/>
                <w:sz w:val="20"/>
                <w:szCs w:val="20"/>
              </w:rPr>
              <w:t>wykorzystaniem technik cyfrowych i wszelkich narzędzi komunikacji elektronicznej oraz w</w:t>
            </w:r>
            <w:r w:rsidR="00F5575E">
              <w:rPr>
                <w:rFonts w:asciiTheme="minorHAnsi" w:hAnsiTheme="minorHAnsi"/>
                <w:sz w:val="20"/>
                <w:szCs w:val="20"/>
              </w:rPr>
              <w:t xml:space="preserve">szelkie działania związane </w:t>
            </w:r>
            <w:r w:rsidRPr="00FB782F">
              <w:rPr>
                <w:rFonts w:asciiTheme="minorHAnsi" w:hAnsiTheme="minorHAnsi"/>
                <w:sz w:val="20"/>
                <w:szCs w:val="20"/>
              </w:rPr>
              <w:t xml:space="preserve">z produkcją  i wykorzystaniem  urządzeń  telekomunikacyjnych  </w:t>
            </w:r>
            <w:r w:rsidR="00F5575E">
              <w:rPr>
                <w:rFonts w:asciiTheme="minorHAnsi" w:hAnsiTheme="minorHAnsi"/>
                <w:sz w:val="20"/>
                <w:szCs w:val="20"/>
              </w:rPr>
              <w:br/>
            </w:r>
            <w:r w:rsidRPr="00FB782F">
              <w:rPr>
                <w:rFonts w:asciiTheme="minorHAnsi" w:hAnsiTheme="minorHAnsi"/>
                <w:sz w:val="20"/>
                <w:szCs w:val="20"/>
              </w:rPr>
              <w:t>i  informatycznych  oraz  usług  im towarzyszących; działania edukacyjne i szkoleniowe.</w:t>
            </w:r>
          </w:p>
          <w:p w:rsidR="00356891" w:rsidRPr="00FB782F" w:rsidRDefault="00356891" w:rsidP="00356891">
            <w:pPr>
              <w:spacing w:line="240" w:lineRule="auto"/>
              <w:jc w:val="both"/>
              <w:rPr>
                <w:rFonts w:asciiTheme="minorHAnsi" w:hAnsiTheme="minorHAnsi"/>
                <w:sz w:val="20"/>
                <w:szCs w:val="20"/>
              </w:rPr>
            </w:pPr>
            <w:r w:rsidRPr="00FB782F">
              <w:rPr>
                <w:rFonts w:asciiTheme="minorHAnsi" w:hAnsiTheme="minorHAnsi"/>
                <w:sz w:val="20"/>
                <w:szCs w:val="20"/>
              </w:rPr>
              <w:t>W przypadku gdy beneficjentem pozostaje jeden podmiot, we wskaźniku należy ująć wartość „1”. W przypadku gdy projekt jest realizowany przez partnerstwo podmiotów, w wartości wskaźnika należy ująć każdy z podmiotów wchodzących w skład partnerstwa, który wdrożył w swojej działalności narzędzia TIK</w:t>
            </w:r>
          </w:p>
        </w:tc>
      </w:tr>
    </w:tbl>
    <w:p w:rsidR="00356891" w:rsidRPr="00FB782F" w:rsidRDefault="00356891" w:rsidP="00356891">
      <w:pPr>
        <w:spacing w:line="240" w:lineRule="auto"/>
        <w:rPr>
          <w:rFonts w:asciiTheme="minorHAnsi" w:hAnsiTheme="minorHAnsi"/>
          <w:sz w:val="20"/>
          <w:szCs w:val="20"/>
        </w:rPr>
      </w:pPr>
    </w:p>
    <w:p w:rsidR="00356891" w:rsidRPr="00FB782F" w:rsidRDefault="00356891" w:rsidP="00356891">
      <w:pPr>
        <w:spacing w:line="240" w:lineRule="auto"/>
        <w:rPr>
          <w:rFonts w:asciiTheme="minorHAnsi" w:hAnsiTheme="minorHAnsi"/>
          <w:sz w:val="20"/>
          <w:szCs w:val="20"/>
        </w:rPr>
      </w:pPr>
    </w:p>
    <w:sectPr w:rsidR="00356891" w:rsidRPr="00FB782F" w:rsidSect="002E1FF1">
      <w:pgSz w:w="16838" w:h="11906" w:orient="landscape"/>
      <w:pgMar w:top="1417" w:right="1417" w:bottom="127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86EAF6" w16cid:durableId="1E75E286"/>
  <w16cid:commentId w16cid:paraId="23D05DB5" w16cid:durableId="1E75EC47"/>
  <w16cid:commentId w16cid:paraId="25F0D7B4" w16cid:durableId="1E75DE73"/>
  <w16cid:commentId w16cid:paraId="238FE371" w16cid:durableId="1E75DE16"/>
  <w16cid:commentId w16cid:paraId="621531BA" w16cid:durableId="1E75DEFE"/>
  <w16cid:commentId w16cid:paraId="622197F1" w16cid:durableId="1E75DF1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128" w:rsidRDefault="00116128" w:rsidP="005E4C56">
      <w:pPr>
        <w:spacing w:after="0" w:line="240" w:lineRule="auto"/>
      </w:pPr>
      <w:r>
        <w:separator/>
      </w:r>
    </w:p>
  </w:endnote>
  <w:endnote w:type="continuationSeparator" w:id="0">
    <w:p w:rsidR="00116128" w:rsidRDefault="00116128" w:rsidP="005E4C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128" w:rsidRDefault="00116128" w:rsidP="005E4C56">
      <w:pPr>
        <w:spacing w:after="0" w:line="240" w:lineRule="auto"/>
      </w:pPr>
      <w:r>
        <w:separator/>
      </w:r>
    </w:p>
  </w:footnote>
  <w:footnote w:type="continuationSeparator" w:id="0">
    <w:p w:rsidR="00116128" w:rsidRDefault="00116128" w:rsidP="005E4C5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683050"/>
    <w:rsid w:val="00021A5F"/>
    <w:rsid w:val="00051924"/>
    <w:rsid w:val="000E32B0"/>
    <w:rsid w:val="00116128"/>
    <w:rsid w:val="002140B0"/>
    <w:rsid w:val="00244574"/>
    <w:rsid w:val="00244AB9"/>
    <w:rsid w:val="00275BFA"/>
    <w:rsid w:val="00293547"/>
    <w:rsid w:val="002B1AA6"/>
    <w:rsid w:val="002E1FF1"/>
    <w:rsid w:val="002F335D"/>
    <w:rsid w:val="003031BE"/>
    <w:rsid w:val="00356891"/>
    <w:rsid w:val="004401AD"/>
    <w:rsid w:val="00445077"/>
    <w:rsid w:val="00466692"/>
    <w:rsid w:val="00485F3A"/>
    <w:rsid w:val="004C0E01"/>
    <w:rsid w:val="004F2F17"/>
    <w:rsid w:val="005B4AB7"/>
    <w:rsid w:val="005E4C56"/>
    <w:rsid w:val="00610A8E"/>
    <w:rsid w:val="00683050"/>
    <w:rsid w:val="00756047"/>
    <w:rsid w:val="00761B2A"/>
    <w:rsid w:val="008301FC"/>
    <w:rsid w:val="00855C79"/>
    <w:rsid w:val="00873B89"/>
    <w:rsid w:val="00914FF8"/>
    <w:rsid w:val="00960C48"/>
    <w:rsid w:val="009F7DEF"/>
    <w:rsid w:val="00A47EF1"/>
    <w:rsid w:val="00B21F3D"/>
    <w:rsid w:val="00B67FFD"/>
    <w:rsid w:val="00BF2DB4"/>
    <w:rsid w:val="00C502FF"/>
    <w:rsid w:val="00CA1AA4"/>
    <w:rsid w:val="00CB02FA"/>
    <w:rsid w:val="00E01BED"/>
    <w:rsid w:val="00E27676"/>
    <w:rsid w:val="00E711EE"/>
    <w:rsid w:val="00E96D03"/>
    <w:rsid w:val="00EA52E4"/>
    <w:rsid w:val="00EC1E51"/>
    <w:rsid w:val="00F42F56"/>
    <w:rsid w:val="00F5575E"/>
    <w:rsid w:val="00F851BD"/>
    <w:rsid w:val="00FB431B"/>
    <w:rsid w:val="00FB782F"/>
    <w:rsid w:val="00FD1DCA"/>
    <w:rsid w:val="00FF3C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3050"/>
    <w:pPr>
      <w:spacing w:after="200"/>
      <w:ind w:firstLine="0"/>
    </w:pPr>
    <w:rPr>
      <w:rFonts w:ascii="Calibri" w:eastAsia="Calibri" w:hAnsi="Calibri" w:cs="Times New Roman"/>
    </w:rPr>
  </w:style>
  <w:style w:type="paragraph" w:styleId="Nagwek2">
    <w:name w:val="heading 2"/>
    <w:basedOn w:val="Normalny"/>
    <w:next w:val="Normalny"/>
    <w:link w:val="Nagwek2Znak"/>
    <w:qFormat/>
    <w:rsid w:val="00683050"/>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unhideWhenUsed/>
    <w:qFormat/>
    <w:rsid w:val="006830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83050"/>
    <w:rPr>
      <w:rFonts w:ascii="Tahoma" w:eastAsia="Times New Roman" w:hAnsi="Tahoma" w:cs="Times New Roman"/>
      <w:b/>
      <w:sz w:val="20"/>
      <w:szCs w:val="24"/>
    </w:rPr>
  </w:style>
  <w:style w:type="paragraph" w:customStyle="1" w:styleId="Default">
    <w:name w:val="Default"/>
    <w:link w:val="DefaultZnak"/>
    <w:qFormat/>
    <w:rsid w:val="00683050"/>
    <w:pPr>
      <w:autoSpaceDE w:val="0"/>
      <w:autoSpaceDN w:val="0"/>
      <w:adjustRightInd w:val="0"/>
      <w:spacing w:line="240" w:lineRule="auto"/>
      <w:ind w:firstLine="0"/>
    </w:pPr>
    <w:rPr>
      <w:rFonts w:ascii="Calibri" w:eastAsia="Calibri" w:hAnsi="Calibri" w:cs="Calibri"/>
      <w:color w:val="000000"/>
      <w:sz w:val="24"/>
      <w:szCs w:val="24"/>
      <w:lang w:eastAsia="pl-PL"/>
    </w:rPr>
  </w:style>
  <w:style w:type="character" w:customStyle="1" w:styleId="Nagwek3Znak">
    <w:name w:val="Nagłówek 3 Znak"/>
    <w:basedOn w:val="Domylnaczcionkaakapitu"/>
    <w:link w:val="Nagwek3"/>
    <w:uiPriority w:val="9"/>
    <w:rsid w:val="00683050"/>
    <w:rPr>
      <w:rFonts w:asciiTheme="majorHAnsi" w:eastAsiaTheme="majorEastAsia" w:hAnsiTheme="majorHAnsi" w:cstheme="majorBidi"/>
      <w:b/>
      <w:bCs/>
      <w:color w:val="4F81BD" w:themeColor="accent1"/>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nhideWhenUsed/>
    <w:qFormat/>
    <w:rsid w:val="005E4C56"/>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rsid w:val="005E4C56"/>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nhideWhenUsed/>
    <w:rsid w:val="005E4C56"/>
    <w:rPr>
      <w:vertAlign w:val="superscript"/>
    </w:rPr>
  </w:style>
  <w:style w:type="character" w:customStyle="1" w:styleId="DefaultZnak">
    <w:name w:val="Default Znak"/>
    <w:link w:val="Default"/>
    <w:rsid w:val="005E4C56"/>
    <w:rPr>
      <w:rFonts w:ascii="Calibri" w:eastAsia="Calibri" w:hAnsi="Calibri" w:cs="Calibri"/>
      <w:color w:val="000000"/>
      <w:sz w:val="24"/>
      <w:szCs w:val="24"/>
      <w:lang w:eastAsia="pl-PL"/>
    </w:rPr>
  </w:style>
  <w:style w:type="character" w:styleId="Odwoaniedokomentarza">
    <w:name w:val="annotation reference"/>
    <w:basedOn w:val="Domylnaczcionkaakapitu"/>
    <w:uiPriority w:val="99"/>
    <w:semiHidden/>
    <w:unhideWhenUsed/>
    <w:rsid w:val="00FF3C58"/>
    <w:rPr>
      <w:sz w:val="16"/>
      <w:szCs w:val="16"/>
    </w:rPr>
  </w:style>
  <w:style w:type="paragraph" w:styleId="Tekstkomentarza">
    <w:name w:val="annotation text"/>
    <w:basedOn w:val="Normalny"/>
    <w:link w:val="TekstkomentarzaZnak"/>
    <w:uiPriority w:val="99"/>
    <w:semiHidden/>
    <w:unhideWhenUsed/>
    <w:rsid w:val="00FF3C5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F3C58"/>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F3C58"/>
    <w:rPr>
      <w:b/>
      <w:bCs/>
    </w:rPr>
  </w:style>
  <w:style w:type="character" w:customStyle="1" w:styleId="TematkomentarzaZnak">
    <w:name w:val="Temat komentarza Znak"/>
    <w:basedOn w:val="TekstkomentarzaZnak"/>
    <w:link w:val="Tematkomentarza"/>
    <w:uiPriority w:val="99"/>
    <w:semiHidden/>
    <w:rsid w:val="00FF3C58"/>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FF3C5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3C58"/>
    <w:rPr>
      <w:rFonts w:ascii="Segoe UI" w:eastAsia="Calibri" w:hAnsi="Segoe UI" w:cs="Segoe UI"/>
      <w:sz w:val="18"/>
      <w:szCs w:val="18"/>
    </w:rPr>
  </w:style>
  <w:style w:type="paragraph" w:styleId="Nagwek">
    <w:name w:val="header"/>
    <w:basedOn w:val="Normalny"/>
    <w:link w:val="NagwekZnak"/>
    <w:uiPriority w:val="99"/>
    <w:semiHidden/>
    <w:unhideWhenUsed/>
    <w:rsid w:val="00293547"/>
    <w:pPr>
      <w:tabs>
        <w:tab w:val="center" w:pos="4536"/>
        <w:tab w:val="right" w:pos="9072"/>
      </w:tabs>
    </w:pPr>
  </w:style>
  <w:style w:type="character" w:customStyle="1" w:styleId="NagwekZnak">
    <w:name w:val="Nagłówek Znak"/>
    <w:basedOn w:val="Domylnaczcionkaakapitu"/>
    <w:link w:val="Nagwek"/>
    <w:uiPriority w:val="99"/>
    <w:semiHidden/>
    <w:rsid w:val="0029354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349794938">
      <w:bodyDiv w:val="1"/>
      <w:marLeft w:val="0"/>
      <w:marRight w:val="0"/>
      <w:marTop w:val="0"/>
      <w:marBottom w:val="0"/>
      <w:divBdr>
        <w:top w:val="none" w:sz="0" w:space="0" w:color="auto"/>
        <w:left w:val="none" w:sz="0" w:space="0" w:color="auto"/>
        <w:bottom w:val="none" w:sz="0" w:space="0" w:color="auto"/>
        <w:right w:val="none" w:sz="0" w:space="0" w:color="auto"/>
      </w:divBdr>
      <w:divsChild>
        <w:div w:id="973830166">
          <w:marLeft w:val="0"/>
          <w:marRight w:val="0"/>
          <w:marTop w:val="0"/>
          <w:marBottom w:val="0"/>
          <w:divBdr>
            <w:top w:val="none" w:sz="0" w:space="0" w:color="auto"/>
            <w:left w:val="none" w:sz="0" w:space="0" w:color="auto"/>
            <w:bottom w:val="none" w:sz="0" w:space="0" w:color="auto"/>
            <w:right w:val="none" w:sz="0" w:space="0" w:color="auto"/>
          </w:divBdr>
        </w:div>
        <w:div w:id="2133472078">
          <w:marLeft w:val="0"/>
          <w:marRight w:val="0"/>
          <w:marTop w:val="0"/>
          <w:marBottom w:val="0"/>
          <w:divBdr>
            <w:top w:val="none" w:sz="0" w:space="0" w:color="auto"/>
            <w:left w:val="none" w:sz="0" w:space="0" w:color="auto"/>
            <w:bottom w:val="none" w:sz="0" w:space="0" w:color="auto"/>
            <w:right w:val="none" w:sz="0" w:space="0" w:color="auto"/>
          </w:divBdr>
        </w:div>
        <w:div w:id="1200627156">
          <w:marLeft w:val="0"/>
          <w:marRight w:val="0"/>
          <w:marTop w:val="0"/>
          <w:marBottom w:val="0"/>
          <w:divBdr>
            <w:top w:val="none" w:sz="0" w:space="0" w:color="auto"/>
            <w:left w:val="none" w:sz="0" w:space="0" w:color="auto"/>
            <w:bottom w:val="none" w:sz="0" w:space="0" w:color="auto"/>
            <w:right w:val="none" w:sz="0" w:space="0" w:color="auto"/>
          </w:divBdr>
        </w:div>
        <w:div w:id="1280256353">
          <w:marLeft w:val="0"/>
          <w:marRight w:val="0"/>
          <w:marTop w:val="0"/>
          <w:marBottom w:val="0"/>
          <w:divBdr>
            <w:top w:val="none" w:sz="0" w:space="0" w:color="auto"/>
            <w:left w:val="none" w:sz="0" w:space="0" w:color="auto"/>
            <w:bottom w:val="none" w:sz="0" w:space="0" w:color="auto"/>
            <w:right w:val="none" w:sz="0" w:space="0" w:color="auto"/>
          </w:divBdr>
        </w:div>
        <w:div w:id="1915433634">
          <w:marLeft w:val="0"/>
          <w:marRight w:val="0"/>
          <w:marTop w:val="0"/>
          <w:marBottom w:val="0"/>
          <w:divBdr>
            <w:top w:val="none" w:sz="0" w:space="0" w:color="auto"/>
            <w:left w:val="none" w:sz="0" w:space="0" w:color="auto"/>
            <w:bottom w:val="none" w:sz="0" w:space="0" w:color="auto"/>
            <w:right w:val="none" w:sz="0" w:space="0" w:color="auto"/>
          </w:divBdr>
        </w:div>
        <w:div w:id="252058949">
          <w:marLeft w:val="0"/>
          <w:marRight w:val="0"/>
          <w:marTop w:val="0"/>
          <w:marBottom w:val="0"/>
          <w:divBdr>
            <w:top w:val="none" w:sz="0" w:space="0" w:color="auto"/>
            <w:left w:val="none" w:sz="0" w:space="0" w:color="auto"/>
            <w:bottom w:val="none" w:sz="0" w:space="0" w:color="auto"/>
            <w:right w:val="none" w:sz="0" w:space="0" w:color="auto"/>
          </w:divBdr>
        </w:div>
        <w:div w:id="44372618">
          <w:marLeft w:val="0"/>
          <w:marRight w:val="0"/>
          <w:marTop w:val="0"/>
          <w:marBottom w:val="0"/>
          <w:divBdr>
            <w:top w:val="none" w:sz="0" w:space="0" w:color="auto"/>
            <w:left w:val="none" w:sz="0" w:space="0" w:color="auto"/>
            <w:bottom w:val="none" w:sz="0" w:space="0" w:color="auto"/>
            <w:right w:val="none" w:sz="0" w:space="0" w:color="auto"/>
          </w:divBdr>
        </w:div>
        <w:div w:id="1209144235">
          <w:marLeft w:val="0"/>
          <w:marRight w:val="0"/>
          <w:marTop w:val="0"/>
          <w:marBottom w:val="0"/>
          <w:divBdr>
            <w:top w:val="none" w:sz="0" w:space="0" w:color="auto"/>
            <w:left w:val="none" w:sz="0" w:space="0" w:color="auto"/>
            <w:bottom w:val="none" w:sz="0" w:space="0" w:color="auto"/>
            <w:right w:val="none" w:sz="0" w:space="0" w:color="auto"/>
          </w:divBdr>
        </w:div>
        <w:div w:id="448553214">
          <w:marLeft w:val="0"/>
          <w:marRight w:val="0"/>
          <w:marTop w:val="0"/>
          <w:marBottom w:val="0"/>
          <w:divBdr>
            <w:top w:val="none" w:sz="0" w:space="0" w:color="auto"/>
            <w:left w:val="none" w:sz="0" w:space="0" w:color="auto"/>
            <w:bottom w:val="none" w:sz="0" w:space="0" w:color="auto"/>
            <w:right w:val="none" w:sz="0" w:space="0" w:color="auto"/>
          </w:divBdr>
        </w:div>
        <w:div w:id="189534302">
          <w:marLeft w:val="0"/>
          <w:marRight w:val="0"/>
          <w:marTop w:val="0"/>
          <w:marBottom w:val="0"/>
          <w:divBdr>
            <w:top w:val="none" w:sz="0" w:space="0" w:color="auto"/>
            <w:left w:val="none" w:sz="0" w:space="0" w:color="auto"/>
            <w:bottom w:val="none" w:sz="0" w:space="0" w:color="auto"/>
            <w:right w:val="none" w:sz="0" w:space="0" w:color="auto"/>
          </w:divBdr>
        </w:div>
        <w:div w:id="1831751993">
          <w:marLeft w:val="0"/>
          <w:marRight w:val="0"/>
          <w:marTop w:val="0"/>
          <w:marBottom w:val="0"/>
          <w:divBdr>
            <w:top w:val="none" w:sz="0" w:space="0" w:color="auto"/>
            <w:left w:val="none" w:sz="0" w:space="0" w:color="auto"/>
            <w:bottom w:val="none" w:sz="0" w:space="0" w:color="auto"/>
            <w:right w:val="none" w:sz="0" w:space="0" w:color="auto"/>
          </w:divBdr>
        </w:div>
        <w:div w:id="426460046">
          <w:marLeft w:val="0"/>
          <w:marRight w:val="0"/>
          <w:marTop w:val="0"/>
          <w:marBottom w:val="0"/>
          <w:divBdr>
            <w:top w:val="none" w:sz="0" w:space="0" w:color="auto"/>
            <w:left w:val="none" w:sz="0" w:space="0" w:color="auto"/>
            <w:bottom w:val="none" w:sz="0" w:space="0" w:color="auto"/>
            <w:right w:val="none" w:sz="0" w:space="0" w:color="auto"/>
          </w:divBdr>
        </w:div>
        <w:div w:id="1167987841">
          <w:marLeft w:val="0"/>
          <w:marRight w:val="0"/>
          <w:marTop w:val="0"/>
          <w:marBottom w:val="0"/>
          <w:divBdr>
            <w:top w:val="none" w:sz="0" w:space="0" w:color="auto"/>
            <w:left w:val="none" w:sz="0" w:space="0" w:color="auto"/>
            <w:bottom w:val="none" w:sz="0" w:space="0" w:color="auto"/>
            <w:right w:val="none" w:sz="0" w:space="0" w:color="auto"/>
          </w:divBdr>
        </w:div>
        <w:div w:id="921336377">
          <w:marLeft w:val="0"/>
          <w:marRight w:val="0"/>
          <w:marTop w:val="0"/>
          <w:marBottom w:val="0"/>
          <w:divBdr>
            <w:top w:val="none" w:sz="0" w:space="0" w:color="auto"/>
            <w:left w:val="none" w:sz="0" w:space="0" w:color="auto"/>
            <w:bottom w:val="none" w:sz="0" w:space="0" w:color="auto"/>
            <w:right w:val="none" w:sz="0" w:space="0" w:color="auto"/>
          </w:divBdr>
        </w:div>
        <w:div w:id="107240129">
          <w:marLeft w:val="0"/>
          <w:marRight w:val="0"/>
          <w:marTop w:val="0"/>
          <w:marBottom w:val="0"/>
          <w:divBdr>
            <w:top w:val="none" w:sz="0" w:space="0" w:color="auto"/>
            <w:left w:val="none" w:sz="0" w:space="0" w:color="auto"/>
            <w:bottom w:val="none" w:sz="0" w:space="0" w:color="auto"/>
            <w:right w:val="none" w:sz="0" w:space="0" w:color="auto"/>
          </w:divBdr>
        </w:div>
        <w:div w:id="1166899644">
          <w:marLeft w:val="0"/>
          <w:marRight w:val="0"/>
          <w:marTop w:val="0"/>
          <w:marBottom w:val="0"/>
          <w:divBdr>
            <w:top w:val="none" w:sz="0" w:space="0" w:color="auto"/>
            <w:left w:val="none" w:sz="0" w:space="0" w:color="auto"/>
            <w:bottom w:val="none" w:sz="0" w:space="0" w:color="auto"/>
            <w:right w:val="none" w:sz="0" w:space="0" w:color="auto"/>
          </w:divBdr>
        </w:div>
        <w:div w:id="1563520994">
          <w:marLeft w:val="0"/>
          <w:marRight w:val="0"/>
          <w:marTop w:val="0"/>
          <w:marBottom w:val="0"/>
          <w:divBdr>
            <w:top w:val="none" w:sz="0" w:space="0" w:color="auto"/>
            <w:left w:val="none" w:sz="0" w:space="0" w:color="auto"/>
            <w:bottom w:val="none" w:sz="0" w:space="0" w:color="auto"/>
            <w:right w:val="none" w:sz="0" w:space="0" w:color="auto"/>
          </w:divBdr>
        </w:div>
        <w:div w:id="1424911961">
          <w:marLeft w:val="0"/>
          <w:marRight w:val="0"/>
          <w:marTop w:val="0"/>
          <w:marBottom w:val="0"/>
          <w:divBdr>
            <w:top w:val="none" w:sz="0" w:space="0" w:color="auto"/>
            <w:left w:val="none" w:sz="0" w:space="0" w:color="auto"/>
            <w:bottom w:val="none" w:sz="0" w:space="0" w:color="auto"/>
            <w:right w:val="none" w:sz="0" w:space="0" w:color="auto"/>
          </w:divBdr>
        </w:div>
        <w:div w:id="1907956544">
          <w:marLeft w:val="0"/>
          <w:marRight w:val="0"/>
          <w:marTop w:val="0"/>
          <w:marBottom w:val="0"/>
          <w:divBdr>
            <w:top w:val="none" w:sz="0" w:space="0" w:color="auto"/>
            <w:left w:val="none" w:sz="0" w:space="0" w:color="auto"/>
            <w:bottom w:val="none" w:sz="0" w:space="0" w:color="auto"/>
            <w:right w:val="none" w:sz="0" w:space="0" w:color="auto"/>
          </w:divBdr>
        </w:div>
        <w:div w:id="1795830469">
          <w:marLeft w:val="0"/>
          <w:marRight w:val="0"/>
          <w:marTop w:val="0"/>
          <w:marBottom w:val="0"/>
          <w:divBdr>
            <w:top w:val="none" w:sz="0" w:space="0" w:color="auto"/>
            <w:left w:val="none" w:sz="0" w:space="0" w:color="auto"/>
            <w:bottom w:val="none" w:sz="0" w:space="0" w:color="auto"/>
            <w:right w:val="none" w:sz="0" w:space="0" w:color="auto"/>
          </w:divBdr>
        </w:div>
        <w:div w:id="1246572435">
          <w:marLeft w:val="0"/>
          <w:marRight w:val="0"/>
          <w:marTop w:val="0"/>
          <w:marBottom w:val="0"/>
          <w:divBdr>
            <w:top w:val="none" w:sz="0" w:space="0" w:color="auto"/>
            <w:left w:val="none" w:sz="0" w:space="0" w:color="auto"/>
            <w:bottom w:val="none" w:sz="0" w:space="0" w:color="auto"/>
            <w:right w:val="none" w:sz="0" w:space="0" w:color="auto"/>
          </w:divBdr>
        </w:div>
        <w:div w:id="635599044">
          <w:marLeft w:val="0"/>
          <w:marRight w:val="0"/>
          <w:marTop w:val="0"/>
          <w:marBottom w:val="0"/>
          <w:divBdr>
            <w:top w:val="none" w:sz="0" w:space="0" w:color="auto"/>
            <w:left w:val="none" w:sz="0" w:space="0" w:color="auto"/>
            <w:bottom w:val="none" w:sz="0" w:space="0" w:color="auto"/>
            <w:right w:val="none" w:sz="0" w:space="0" w:color="auto"/>
          </w:divBdr>
        </w:div>
        <w:div w:id="642588328">
          <w:marLeft w:val="0"/>
          <w:marRight w:val="0"/>
          <w:marTop w:val="0"/>
          <w:marBottom w:val="0"/>
          <w:divBdr>
            <w:top w:val="none" w:sz="0" w:space="0" w:color="auto"/>
            <w:left w:val="none" w:sz="0" w:space="0" w:color="auto"/>
            <w:bottom w:val="none" w:sz="0" w:space="0" w:color="auto"/>
            <w:right w:val="none" w:sz="0" w:space="0" w:color="auto"/>
          </w:divBdr>
        </w:div>
      </w:divsChild>
    </w:div>
    <w:div w:id="689453123">
      <w:bodyDiv w:val="1"/>
      <w:marLeft w:val="0"/>
      <w:marRight w:val="0"/>
      <w:marTop w:val="0"/>
      <w:marBottom w:val="0"/>
      <w:divBdr>
        <w:top w:val="none" w:sz="0" w:space="0" w:color="auto"/>
        <w:left w:val="none" w:sz="0" w:space="0" w:color="auto"/>
        <w:bottom w:val="none" w:sz="0" w:space="0" w:color="auto"/>
        <w:right w:val="none" w:sz="0" w:space="0" w:color="auto"/>
      </w:divBdr>
      <w:divsChild>
        <w:div w:id="1979607667">
          <w:marLeft w:val="0"/>
          <w:marRight w:val="0"/>
          <w:marTop w:val="0"/>
          <w:marBottom w:val="0"/>
          <w:divBdr>
            <w:top w:val="none" w:sz="0" w:space="0" w:color="auto"/>
            <w:left w:val="none" w:sz="0" w:space="0" w:color="auto"/>
            <w:bottom w:val="none" w:sz="0" w:space="0" w:color="auto"/>
            <w:right w:val="none" w:sz="0" w:space="0" w:color="auto"/>
          </w:divBdr>
        </w:div>
        <w:div w:id="1764261333">
          <w:marLeft w:val="0"/>
          <w:marRight w:val="0"/>
          <w:marTop w:val="0"/>
          <w:marBottom w:val="0"/>
          <w:divBdr>
            <w:top w:val="none" w:sz="0" w:space="0" w:color="auto"/>
            <w:left w:val="none" w:sz="0" w:space="0" w:color="auto"/>
            <w:bottom w:val="none" w:sz="0" w:space="0" w:color="auto"/>
            <w:right w:val="none" w:sz="0" w:space="0" w:color="auto"/>
          </w:divBdr>
        </w:div>
        <w:div w:id="112480464">
          <w:marLeft w:val="0"/>
          <w:marRight w:val="0"/>
          <w:marTop w:val="0"/>
          <w:marBottom w:val="0"/>
          <w:divBdr>
            <w:top w:val="none" w:sz="0" w:space="0" w:color="auto"/>
            <w:left w:val="none" w:sz="0" w:space="0" w:color="auto"/>
            <w:bottom w:val="none" w:sz="0" w:space="0" w:color="auto"/>
            <w:right w:val="none" w:sz="0" w:space="0" w:color="auto"/>
          </w:divBdr>
        </w:div>
        <w:div w:id="1283534260">
          <w:marLeft w:val="0"/>
          <w:marRight w:val="0"/>
          <w:marTop w:val="0"/>
          <w:marBottom w:val="0"/>
          <w:divBdr>
            <w:top w:val="none" w:sz="0" w:space="0" w:color="auto"/>
            <w:left w:val="none" w:sz="0" w:space="0" w:color="auto"/>
            <w:bottom w:val="none" w:sz="0" w:space="0" w:color="auto"/>
            <w:right w:val="none" w:sz="0" w:space="0" w:color="auto"/>
          </w:divBdr>
        </w:div>
        <w:div w:id="2057122762">
          <w:marLeft w:val="0"/>
          <w:marRight w:val="0"/>
          <w:marTop w:val="0"/>
          <w:marBottom w:val="0"/>
          <w:divBdr>
            <w:top w:val="none" w:sz="0" w:space="0" w:color="auto"/>
            <w:left w:val="none" w:sz="0" w:space="0" w:color="auto"/>
            <w:bottom w:val="none" w:sz="0" w:space="0" w:color="auto"/>
            <w:right w:val="none" w:sz="0" w:space="0" w:color="auto"/>
          </w:divBdr>
        </w:div>
        <w:div w:id="1616600422">
          <w:marLeft w:val="0"/>
          <w:marRight w:val="0"/>
          <w:marTop w:val="0"/>
          <w:marBottom w:val="0"/>
          <w:divBdr>
            <w:top w:val="none" w:sz="0" w:space="0" w:color="auto"/>
            <w:left w:val="none" w:sz="0" w:space="0" w:color="auto"/>
            <w:bottom w:val="none" w:sz="0" w:space="0" w:color="auto"/>
            <w:right w:val="none" w:sz="0" w:space="0" w:color="auto"/>
          </w:divBdr>
        </w:div>
        <w:div w:id="768962040">
          <w:marLeft w:val="0"/>
          <w:marRight w:val="0"/>
          <w:marTop w:val="0"/>
          <w:marBottom w:val="0"/>
          <w:divBdr>
            <w:top w:val="none" w:sz="0" w:space="0" w:color="auto"/>
            <w:left w:val="none" w:sz="0" w:space="0" w:color="auto"/>
            <w:bottom w:val="none" w:sz="0" w:space="0" w:color="auto"/>
            <w:right w:val="none" w:sz="0" w:space="0" w:color="auto"/>
          </w:divBdr>
        </w:div>
        <w:div w:id="1851993619">
          <w:marLeft w:val="0"/>
          <w:marRight w:val="0"/>
          <w:marTop w:val="0"/>
          <w:marBottom w:val="0"/>
          <w:divBdr>
            <w:top w:val="none" w:sz="0" w:space="0" w:color="auto"/>
            <w:left w:val="none" w:sz="0" w:space="0" w:color="auto"/>
            <w:bottom w:val="none" w:sz="0" w:space="0" w:color="auto"/>
            <w:right w:val="none" w:sz="0" w:space="0" w:color="auto"/>
          </w:divBdr>
        </w:div>
      </w:divsChild>
    </w:div>
    <w:div w:id="1214736368">
      <w:bodyDiv w:val="1"/>
      <w:marLeft w:val="0"/>
      <w:marRight w:val="0"/>
      <w:marTop w:val="0"/>
      <w:marBottom w:val="0"/>
      <w:divBdr>
        <w:top w:val="none" w:sz="0" w:space="0" w:color="auto"/>
        <w:left w:val="none" w:sz="0" w:space="0" w:color="auto"/>
        <w:bottom w:val="none" w:sz="0" w:space="0" w:color="auto"/>
        <w:right w:val="none" w:sz="0" w:space="0" w:color="auto"/>
      </w:divBdr>
    </w:div>
    <w:div w:id="158152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6</Pages>
  <Words>2134</Words>
  <Characters>12805</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j.pakalska</dc:creator>
  <cp:keywords/>
  <dc:description/>
  <cp:lastModifiedBy>dorota.sawicka</cp:lastModifiedBy>
  <cp:revision>12</cp:revision>
  <dcterms:created xsi:type="dcterms:W3CDTF">2018-04-09T10:29:00Z</dcterms:created>
  <dcterms:modified xsi:type="dcterms:W3CDTF">2018-04-25T06:54:00Z</dcterms:modified>
</cp:coreProperties>
</file>